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rPr>
          <w:rFonts w:ascii="Arial" w:hAnsi="Arial" w:eastAsia="Arial" w:cs="Arial"/>
          <w:color w:val="5B5B5F"/>
          <w:sz w:val="36"/>
          <w:szCs w:val="36"/>
        </w:rPr>
      </w:pPr>
      <w:r>
        <w:rPr>
          <w:rFonts w:eastAsia="Arial" w:cs="Arial" w:ascii="Arial" w:hAnsi="Arial"/>
          <w:color w:val="5B5B5F"/>
          <w:sz w:val="36"/>
          <w:szCs w:val="36"/>
        </w:rPr>
      </w:r>
    </w:p>
    <w:p>
      <w:pPr>
        <w:pStyle w:val="LOnormal"/>
        <w:rPr>
          <w:rFonts w:ascii="Arial" w:hAnsi="Arial" w:eastAsia="Arial" w:cs="Arial"/>
          <w:color w:val="5B5B5F"/>
          <w:sz w:val="36"/>
          <w:szCs w:val="36"/>
        </w:rPr>
      </w:pPr>
      <w:r>
        <w:rPr>
          <w:rFonts w:eastAsia="Arial" w:cs="Arial" w:ascii="Arial" w:hAnsi="Arial"/>
          <w:color w:val="5B5B5F"/>
          <w:sz w:val="36"/>
          <w:szCs w:val="36"/>
        </w:rPr>
      </w:r>
    </w:p>
    <w:p>
      <w:pPr>
        <w:pStyle w:val="LOnormal"/>
        <w:rPr>
          <w:rFonts w:ascii="Arial" w:hAnsi="Arial" w:eastAsia="Arial" w:cs="Arial"/>
          <w:color w:val="5B5B5F"/>
          <w:sz w:val="36"/>
          <w:szCs w:val="36"/>
        </w:rPr>
      </w:pPr>
      <w:r>
        <w:rPr>
          <w:rFonts w:eastAsia="Arial" w:cs="Arial" w:ascii="Arial" w:hAnsi="Arial"/>
          <w:color w:val="5B5B5F"/>
          <w:sz w:val="36"/>
          <w:szCs w:val="36"/>
        </w:rPr>
      </w:r>
    </w:p>
    <w:p>
      <w:pPr>
        <w:pStyle w:val="LOnormal"/>
        <w:rPr>
          <w:rFonts w:ascii="Arial" w:hAnsi="Arial" w:eastAsia="Arial" w:cs="Arial"/>
          <w:b/>
          <w:b/>
          <w:color w:val="405CA1"/>
          <w:sz w:val="56"/>
          <w:szCs w:val="56"/>
        </w:rPr>
      </w:pPr>
      <w:r>
        <w:rPr>
          <w:rFonts w:eastAsia="Arial" w:cs="Arial" w:ascii="Arial" w:hAnsi="Arial"/>
          <w:color w:val="405CA1"/>
          <w:sz w:val="56"/>
          <w:szCs w:val="56"/>
        </w:rPr>
        <w:t>PREGÃO</w:t>
      </w:r>
    </w:p>
    <w:p>
      <w:pPr>
        <w:pStyle w:val="LOnormal"/>
        <w:rPr>
          <w:rFonts w:ascii="Arial" w:hAnsi="Arial" w:eastAsia="Arial" w:cs="Arial"/>
          <w:b/>
          <w:b/>
          <w:color w:val="405CA1"/>
          <w:sz w:val="56"/>
          <w:szCs w:val="56"/>
        </w:rPr>
      </w:pPr>
      <w:r>
        <w:rPr>
          <w:rFonts w:eastAsia="Arial" w:cs="Arial" w:ascii="Arial" w:hAnsi="Arial"/>
          <w:color w:val="405CA1"/>
          <w:sz w:val="56"/>
          <w:szCs w:val="56"/>
        </w:rPr>
        <w:t>ELETRÔNICO</w:t>
      </w:r>
    </w:p>
    <w:p>
      <w:pPr>
        <w:pStyle w:val="LOnormal"/>
        <w:rPr>
          <w:rFonts w:ascii="Arial" w:hAnsi="Arial" w:eastAsia="Arial" w:cs="Arial"/>
          <w:i/>
          <w:i/>
          <w:color w:val="5B5B5F"/>
          <w:sz w:val="28"/>
          <w:szCs w:val="28"/>
        </w:rPr>
      </w:pPr>
      <w:r>
        <w:rPr>
          <w:rFonts w:eastAsia="Arial" w:cs="Arial" w:ascii="Arial" w:hAnsi="Arial"/>
          <w:i/>
          <w:color w:val="5B5B5F"/>
          <w:sz w:val="28"/>
          <w:szCs w:val="28"/>
        </w:rPr>
        <w:t>03/2023</w:t>
      </w:r>
    </w:p>
    <w:p>
      <w:pPr>
        <w:pStyle w:val="LOnormal"/>
        <w:spacing w:lineRule="auto" w:line="259"/>
        <w:rPr>
          <w:rFonts w:ascii="Arial" w:hAnsi="Arial" w:eastAsia="Arial" w:cs="Arial"/>
          <w:b/>
          <w:b/>
          <w:color w:val="405CA1"/>
          <w:sz w:val="28"/>
          <w:szCs w:val="28"/>
        </w:rPr>
      </w:pPr>
      <w:r>
        <w:rPr>
          <w:rFonts w:eastAsia="Arial" w:cs="Arial" w:ascii="Arial" w:hAnsi="Arial"/>
          <w:b/>
          <w:color w:val="405CA1"/>
          <w:sz w:val="28"/>
          <w:szCs w:val="28"/>
        </w:rPr>
      </w:r>
    </w:p>
    <w:p>
      <w:pPr>
        <w:pStyle w:val="LOnormal"/>
        <w:spacing w:lineRule="auto" w:line="259"/>
        <w:rPr>
          <w:rFonts w:ascii="Arial" w:hAnsi="Arial" w:eastAsia="Arial" w:cs="Arial"/>
          <w:b/>
          <w:b/>
          <w:color w:val="405CA1"/>
          <w:sz w:val="26"/>
          <w:szCs w:val="26"/>
        </w:rPr>
      </w:pPr>
      <w:r>
        <w:rPr>
          <w:rFonts w:eastAsia="Arial" w:cs="Arial" w:ascii="Arial" w:hAnsi="Arial"/>
          <w:b/>
          <w:color w:val="405CA1"/>
          <w:sz w:val="32"/>
          <w:szCs w:val="32"/>
        </w:rPr>
        <w:t>CONTRATANTE</w:t>
      </w:r>
      <w:r>
        <w:rPr>
          <w:rFonts w:eastAsia="Arial" w:cs="Arial" w:ascii="Arial" w:hAnsi="Arial"/>
          <w:b/>
          <w:color w:val="405CA1"/>
          <w:sz w:val="26"/>
          <w:szCs w:val="26"/>
        </w:rPr>
        <w:t xml:space="preserve"> (UASG)</w:t>
      </w:r>
    </w:p>
    <w:p>
      <w:pPr>
        <w:pStyle w:val="LOnormal"/>
        <w:rPr>
          <w:rFonts w:ascii="Arial" w:hAnsi="Arial" w:eastAsia="Arial" w:cs="Arial"/>
          <w:color w:val="5B5B5F"/>
          <w:sz w:val="26"/>
          <w:szCs w:val="26"/>
        </w:rPr>
      </w:pPr>
      <w:r>
        <w:rPr>
          <w:rFonts w:eastAsia="Arial" w:cs="Arial" w:ascii="Arial" w:hAnsi="Arial"/>
          <w:color w:val="5B5B5F"/>
          <w:sz w:val="26"/>
          <w:szCs w:val="26"/>
        </w:rPr>
        <w:t>(160224)</w:t>
      </w:r>
    </w:p>
    <w:p>
      <w:pPr>
        <w:pStyle w:val="LOnormal"/>
        <w:rPr>
          <w:rFonts w:ascii="Arial" w:hAnsi="Arial" w:eastAsia="Arial" w:cs="Arial"/>
          <w:color w:val="5B5B5F"/>
          <w:sz w:val="26"/>
          <w:szCs w:val="26"/>
        </w:rPr>
      </w:pPr>
      <w:r>
        <w:rPr>
          <w:rFonts w:eastAsia="Arial" w:cs="Arial" w:ascii="Arial" w:hAnsi="Arial"/>
          <w:color w:val="5B5B5F"/>
          <w:sz w:val="26"/>
          <w:szCs w:val="26"/>
        </w:rPr>
      </w:r>
    </w:p>
    <w:p>
      <w:pPr>
        <w:pStyle w:val="LOnormal"/>
        <w:rPr>
          <w:rFonts w:ascii="Arial" w:hAnsi="Arial" w:eastAsia="Arial" w:cs="Arial"/>
          <w:b/>
          <w:b/>
          <w:color w:val="405CA1"/>
          <w:sz w:val="32"/>
          <w:szCs w:val="32"/>
        </w:rPr>
      </w:pPr>
      <w:r>
        <w:rPr>
          <w:rFonts w:eastAsia="Arial" w:cs="Arial" w:ascii="Arial" w:hAnsi="Arial"/>
          <w:b/>
          <w:color w:val="405CA1"/>
          <w:sz w:val="32"/>
          <w:szCs w:val="32"/>
        </w:rPr>
      </w:r>
    </w:p>
    <w:p>
      <w:pPr>
        <w:pStyle w:val="LOnormal"/>
        <w:rPr>
          <w:rFonts w:ascii="Arial" w:hAnsi="Arial" w:eastAsia="Arial" w:cs="Arial"/>
          <w:b/>
          <w:b/>
          <w:color w:val="5B5B5F"/>
          <w:sz w:val="26"/>
          <w:szCs w:val="26"/>
        </w:rPr>
      </w:pPr>
      <w:r>
        <w:rPr>
          <w:rFonts w:eastAsia="Arial" w:cs="Arial" w:ascii="Arial" w:hAnsi="Arial"/>
          <w:b/>
          <w:color w:val="405CA1"/>
          <w:sz w:val="32"/>
          <w:szCs w:val="32"/>
        </w:rPr>
        <w:t>OBJETO</w:t>
      </w:r>
    </w:p>
    <w:p>
      <w:pPr>
        <w:pStyle w:val="LOnormal"/>
        <w:keepNext w:val="false"/>
        <w:keepLines w:val="false"/>
        <w:pageBreakBefore w:val="false"/>
        <w:widowControl/>
        <w:shd w:val="clear" w:fill="auto"/>
        <w:spacing w:lineRule="auto" w:line="276" w:before="0" w:after="170"/>
        <w:ind w:left="999"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595959"/>
          <w:position w:val="0"/>
          <w:sz w:val="28"/>
          <w:sz w:val="28"/>
          <w:szCs w:val="28"/>
          <w:u w:val="none"/>
          <w:shd w:fill="auto" w:val="clear"/>
          <w:vertAlign w:val="baseline"/>
        </w:rPr>
        <w:t>Eventual aquisição de</w:t>
      </w:r>
      <w:r>
        <w:rPr>
          <w:rFonts w:eastAsia="Arial" w:cs="Arial" w:ascii="Arial" w:hAnsi="Arial"/>
          <w:b w:val="false"/>
          <w:i w:val="false"/>
          <w:caps w:val="false"/>
          <w:smallCaps w:val="false"/>
          <w:strike w:val="false"/>
          <w:dstrike w:val="false"/>
          <w:color w:val="FF0000"/>
          <w:position w:val="0"/>
          <w:sz w:val="28"/>
          <w:sz w:val="28"/>
          <w:szCs w:val="28"/>
          <w:u w:val="none"/>
          <w:shd w:fill="auto" w:val="clear"/>
          <w:vertAlign w:val="baseline"/>
        </w:rPr>
        <w:t xml:space="preserve">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material de proteção e segurança individual e coletiva </w:t>
      </w:r>
      <w:r>
        <w:rPr>
          <w:rFonts w:eastAsia="Arial" w:cs="Arial" w:ascii="Arial" w:hAnsi="Arial"/>
          <w:b/>
          <w:i w:val="false"/>
          <w:caps w:val="false"/>
          <w:smallCaps w:val="false"/>
          <w:strike w:val="false"/>
          <w:dstrike w:val="false"/>
          <w:color w:val="595959"/>
          <w:position w:val="0"/>
          <w:sz w:val="28"/>
          <w:sz w:val="28"/>
          <w:szCs w:val="28"/>
          <w:u w:val="none"/>
          <w:shd w:fill="auto" w:val="clear"/>
          <w:vertAlign w:val="baseline"/>
        </w:rPr>
        <w:t>,</w:t>
      </w:r>
      <w:r>
        <w:rPr>
          <w:rFonts w:eastAsia="Arial" w:cs="Arial" w:ascii="Arial" w:hAnsi="Arial"/>
          <w:b w:val="false"/>
          <w:i w:val="false"/>
          <w:caps w:val="false"/>
          <w:smallCaps w:val="false"/>
          <w:strike w:val="false"/>
          <w:dstrike w:val="false"/>
          <w:color w:val="595959"/>
          <w:position w:val="0"/>
          <w:sz w:val="28"/>
          <w:sz w:val="28"/>
          <w:szCs w:val="28"/>
          <w:u w:val="none"/>
          <w:shd w:fill="auto" w:val="clear"/>
          <w:vertAlign w:val="baseline"/>
        </w:rPr>
        <w:t xml:space="preserve"> nos termos da tabela abaixo, conforme condições e exigências estabelecidas neste instrumento.</w:t>
      </w:r>
    </w:p>
    <w:p>
      <w:pPr>
        <w:pStyle w:val="LOnormal"/>
        <w:rPr>
          <w:rFonts w:ascii="Arial" w:hAnsi="Arial" w:eastAsia="Arial" w:cs="Arial"/>
          <w:color w:val="5B5B5F"/>
          <w:sz w:val="28"/>
          <w:szCs w:val="28"/>
        </w:rPr>
      </w:pPr>
      <w:r>
        <w:rPr>
          <w:rFonts w:eastAsia="Arial" w:cs="Arial" w:ascii="Arial" w:hAnsi="Arial"/>
          <w:color w:val="5B5B5F"/>
          <w:sz w:val="28"/>
          <w:szCs w:val="28"/>
        </w:rPr>
      </w:r>
    </w:p>
    <w:p>
      <w:pPr>
        <w:pStyle w:val="LOnormal"/>
        <w:rPr>
          <w:rFonts w:ascii="Arial" w:hAnsi="Arial" w:eastAsia="Arial" w:cs="Arial"/>
          <w:color w:val="5B5B5F"/>
          <w:sz w:val="28"/>
          <w:szCs w:val="28"/>
        </w:rPr>
      </w:pPr>
      <w:r>
        <w:rPr>
          <w:rFonts w:eastAsia="Arial" w:cs="Arial" w:ascii="Arial" w:hAnsi="Arial"/>
          <w:color w:val="5B5B5F"/>
          <w:sz w:val="28"/>
          <w:szCs w:val="28"/>
        </w:rPr>
      </w:r>
    </w:p>
    <w:p>
      <w:pPr>
        <w:pStyle w:val="LOnormal"/>
        <w:rPr>
          <w:rFonts w:ascii="Arial" w:hAnsi="Arial" w:eastAsia="Arial" w:cs="Arial"/>
          <w:color w:val="5B5B5F"/>
          <w:sz w:val="28"/>
          <w:szCs w:val="28"/>
        </w:rPr>
      </w:pPr>
      <w:r>
        <w:rPr>
          <w:rFonts w:eastAsia="Arial" w:cs="Arial" w:ascii="Arial" w:hAnsi="Arial"/>
          <w:color w:val="5B5B5F"/>
          <w:sz w:val="28"/>
          <w:szCs w:val="28"/>
        </w:rPr>
      </w:r>
    </w:p>
    <w:p>
      <w:pPr>
        <w:pStyle w:val="LOnormal"/>
        <w:rPr>
          <w:rFonts w:ascii="Arial" w:hAnsi="Arial" w:eastAsia="Arial" w:cs="Arial"/>
          <w:color w:val="5B5B5F"/>
          <w:sz w:val="28"/>
          <w:szCs w:val="28"/>
        </w:rPr>
      </w:pPr>
      <w:r>
        <w:rPr>
          <w:rFonts w:eastAsia="Arial" w:cs="Arial" w:ascii="Arial" w:hAnsi="Arial"/>
          <w:color w:val="5B5B5F"/>
          <w:sz w:val="28"/>
          <w:szCs w:val="28"/>
        </w:rPr>
      </w:r>
    </w:p>
    <w:p>
      <w:pPr>
        <w:pStyle w:val="LOnormal"/>
        <w:rPr>
          <w:rFonts w:ascii="Arial" w:hAnsi="Arial" w:eastAsia="Arial" w:cs="Arial"/>
          <w:color w:val="5B5B5F"/>
          <w:sz w:val="28"/>
          <w:szCs w:val="28"/>
        </w:rPr>
      </w:pPr>
      <w:r>
        <w:rPr>
          <w:rFonts w:eastAsia="Arial" w:cs="Arial" w:ascii="Arial" w:hAnsi="Arial"/>
          <w:color w:val="5B5B5F"/>
          <w:sz w:val="28"/>
          <w:szCs w:val="28"/>
        </w:rPr>
        <w:t xml:space="preserve"> </w:t>
      </w:r>
    </w:p>
    <w:p>
      <w:pPr>
        <w:pStyle w:val="LOnormal"/>
        <w:rPr>
          <w:rFonts w:ascii="Arial" w:hAnsi="Arial" w:eastAsia="Arial" w:cs="Arial"/>
          <w:color w:val="5B5B5F"/>
          <w:sz w:val="26"/>
          <w:szCs w:val="26"/>
        </w:rPr>
      </w:pPr>
      <w:r>
        <w:rPr>
          <w:rFonts w:eastAsia="Arial" w:cs="Arial" w:ascii="Arial" w:hAnsi="Arial"/>
          <w:color w:val="5B5B5F"/>
          <w:sz w:val="26"/>
          <w:szCs w:val="26"/>
        </w:rPr>
      </w:r>
    </w:p>
    <w:p>
      <w:pPr>
        <w:pStyle w:val="LOnormal"/>
        <w:rPr>
          <w:rFonts w:ascii="Arial" w:hAnsi="Arial" w:eastAsia="Arial" w:cs="Arial"/>
          <w:b/>
          <w:b/>
          <w:color w:val="405CA1"/>
          <w:sz w:val="32"/>
          <w:szCs w:val="32"/>
        </w:rPr>
      </w:pPr>
      <w:r>
        <w:rPr>
          <w:rFonts w:eastAsia="Arial" w:cs="Arial" w:ascii="Arial" w:hAnsi="Arial"/>
          <w:b/>
          <w:color w:val="405CA1"/>
          <w:sz w:val="32"/>
          <w:szCs w:val="32"/>
        </w:rPr>
      </w:r>
    </w:p>
    <w:p>
      <w:pPr>
        <w:pStyle w:val="LOnormal"/>
        <w:rPr>
          <w:rFonts w:ascii="Arial" w:hAnsi="Arial" w:eastAsia="Arial" w:cs="Arial"/>
          <w:b/>
          <w:b/>
          <w:color w:val="405CA1"/>
          <w:sz w:val="26"/>
          <w:szCs w:val="26"/>
        </w:rPr>
      </w:pPr>
      <w:r>
        <w:rPr>
          <w:rFonts w:eastAsia="Arial" w:cs="Arial" w:ascii="Arial" w:hAnsi="Arial"/>
          <w:b/>
          <w:color w:val="405CA1"/>
          <w:sz w:val="32"/>
          <w:szCs w:val="32"/>
        </w:rPr>
        <w:t>VALOR</w:t>
      </w:r>
      <w:r>
        <w:rPr>
          <w:rFonts w:eastAsia="Arial" w:cs="Arial" w:ascii="Arial" w:hAnsi="Arial"/>
          <w:b/>
          <w:color w:val="405CA1"/>
          <w:sz w:val="26"/>
          <w:szCs w:val="26"/>
        </w:rPr>
        <w:t xml:space="preserve"> </w:t>
      </w:r>
      <w:r>
        <w:rPr>
          <w:rFonts w:eastAsia="Arial" w:cs="Arial" w:ascii="Arial" w:hAnsi="Arial"/>
          <w:b/>
          <w:color w:val="405CA1"/>
          <w:sz w:val="32"/>
          <w:szCs w:val="32"/>
        </w:rPr>
        <w:t>TOTAL DA CONTRATAÇÃO</w:t>
      </w:r>
    </w:p>
    <w:p>
      <w:pPr>
        <w:pStyle w:val="LOnormal"/>
        <w:rPr>
          <w:rFonts w:ascii="Arial" w:hAnsi="Arial" w:eastAsia="Arial" w:cs="Arial"/>
          <w:b/>
          <w:b/>
          <w:color w:val="5B5B5F"/>
          <w:sz w:val="28"/>
          <w:szCs w:val="28"/>
        </w:rPr>
      </w:pPr>
      <w:r>
        <w:rPr>
          <w:rFonts w:eastAsia="Arial" w:cs="Arial" w:ascii="Arial" w:hAnsi="Arial"/>
          <w:b/>
          <w:color w:val="5B5B5F"/>
          <w:sz w:val="28"/>
          <w:szCs w:val="28"/>
        </w:rPr>
        <w:t>R$ 410.164,510</w:t>
      </w:r>
    </w:p>
    <w:p>
      <w:pPr>
        <w:pStyle w:val="LOnormal"/>
        <w:rPr>
          <w:rFonts w:ascii="Arial" w:hAnsi="Arial" w:eastAsia="Arial" w:cs="Arial"/>
          <w:b/>
          <w:b/>
          <w:color w:val="5B5B5F"/>
          <w:sz w:val="28"/>
          <w:szCs w:val="28"/>
        </w:rPr>
      </w:pPr>
      <w:r>
        <w:rPr>
          <w:rFonts w:eastAsia="Arial" w:cs="Arial" w:ascii="Arial" w:hAnsi="Arial"/>
          <w:b/>
          <w:color w:val="5B5B5F"/>
          <w:sz w:val="28"/>
          <w:szCs w:val="28"/>
        </w:rPr>
      </w:r>
    </w:p>
    <w:p>
      <w:pPr>
        <w:pStyle w:val="LOnormal"/>
        <w:rPr>
          <w:rFonts w:ascii="Arial" w:hAnsi="Arial" w:eastAsia="Arial" w:cs="Arial"/>
          <w:color w:val="5B5B5F"/>
          <w:sz w:val="26"/>
          <w:szCs w:val="26"/>
        </w:rPr>
      </w:pPr>
      <w:r>
        <w:rPr>
          <w:rFonts w:eastAsia="Arial" w:cs="Arial" w:ascii="Arial" w:hAnsi="Arial"/>
          <w:color w:val="5B5B5F"/>
          <w:sz w:val="26"/>
          <w:szCs w:val="26"/>
        </w:rPr>
      </w:r>
    </w:p>
    <w:p>
      <w:pPr>
        <w:pStyle w:val="LOnormal"/>
        <w:rPr>
          <w:rFonts w:ascii="Arial" w:hAnsi="Arial" w:eastAsia="Arial" w:cs="Arial"/>
          <w:b/>
          <w:b/>
          <w:color w:val="405CA1"/>
          <w:sz w:val="26"/>
          <w:szCs w:val="26"/>
        </w:rPr>
      </w:pPr>
      <w:r>
        <w:rPr>
          <w:rFonts w:eastAsia="Arial" w:cs="Arial" w:ascii="Arial" w:hAnsi="Arial"/>
          <w:b/>
          <w:color w:val="405CA1"/>
          <w:sz w:val="32"/>
          <w:szCs w:val="32"/>
        </w:rPr>
        <w:t>DATA DA SESSÃO PÚBLICA</w:t>
      </w:r>
    </w:p>
    <w:p>
      <w:pPr>
        <w:pStyle w:val="LOnormal"/>
        <w:rPr>
          <w:rFonts w:ascii="Arial" w:hAnsi="Arial" w:eastAsia="Arial" w:cs="Arial"/>
          <w:b/>
          <w:b/>
          <w:color w:val="5B5B5F"/>
          <w:sz w:val="28"/>
          <w:szCs w:val="28"/>
        </w:rPr>
      </w:pPr>
      <w:r>
        <w:rPr>
          <w:rFonts w:eastAsia="Arial" w:cs="Arial" w:ascii="Arial" w:hAnsi="Arial"/>
          <w:color w:val="5B5B5F"/>
          <w:sz w:val="28"/>
          <w:szCs w:val="28"/>
        </w:rPr>
        <w:t>Dia 01/09/2023</w:t>
      </w:r>
      <w:r>
        <w:rPr>
          <w:rFonts w:eastAsia="Arial" w:cs="Arial" w:ascii="Arial" w:hAnsi="Arial"/>
          <w:b/>
          <w:color w:val="5B5B5F"/>
          <w:sz w:val="28"/>
          <w:szCs w:val="28"/>
        </w:rPr>
        <w:t xml:space="preserve"> </w:t>
      </w:r>
      <w:r>
        <w:rPr>
          <w:rFonts w:eastAsia="Arial" w:cs="Arial" w:ascii="Arial" w:hAnsi="Arial"/>
          <w:color w:val="5B5B5F"/>
          <w:sz w:val="28"/>
          <w:szCs w:val="28"/>
        </w:rPr>
        <w:t>às 08:00 hs</w:t>
      </w:r>
      <w:r>
        <w:rPr>
          <w:rFonts w:eastAsia="Arial" w:cs="Arial" w:ascii="Arial" w:hAnsi="Arial"/>
          <w:b/>
          <w:color w:val="5B5B5F"/>
          <w:sz w:val="28"/>
          <w:szCs w:val="28"/>
        </w:rPr>
        <w:t xml:space="preserve"> (horário de Brasília)</w:t>
      </w:r>
    </w:p>
    <w:p>
      <w:pPr>
        <w:pStyle w:val="LOnormal"/>
        <w:rPr>
          <w:rFonts w:ascii="Arial" w:hAnsi="Arial" w:eastAsia="Arial" w:cs="Arial"/>
          <w:b/>
          <w:b/>
          <w:color w:val="5B5B5F"/>
          <w:sz w:val="26"/>
          <w:szCs w:val="26"/>
        </w:rPr>
      </w:pPr>
      <w:r>
        <w:rPr>
          <w:rFonts w:eastAsia="Arial" w:cs="Arial" w:ascii="Arial" w:hAnsi="Arial"/>
          <w:b/>
          <w:color w:val="5B5B5F"/>
          <w:sz w:val="26"/>
          <w:szCs w:val="26"/>
        </w:rPr>
      </w:r>
    </w:p>
    <w:p>
      <w:pPr>
        <w:pStyle w:val="LOnormal"/>
        <w:jc w:val="both"/>
        <w:rPr>
          <w:rFonts w:ascii="Arial" w:hAnsi="Arial" w:eastAsia="Arial" w:cs="Arial"/>
          <w:b/>
          <w:b/>
          <w:smallCaps/>
          <w:color w:val="405CA1"/>
          <w:sz w:val="32"/>
          <w:szCs w:val="32"/>
        </w:rPr>
      </w:pPr>
      <w:r>
        <w:rPr>
          <w:rFonts w:eastAsia="Arial" w:cs="Arial" w:ascii="Arial" w:hAnsi="Arial"/>
          <w:b/>
          <w:smallCaps/>
          <w:color w:val="405CA1"/>
          <w:sz w:val="32"/>
          <w:szCs w:val="32"/>
        </w:rPr>
      </w:r>
    </w:p>
    <w:p>
      <w:pPr>
        <w:pStyle w:val="LOnormal"/>
        <w:jc w:val="both"/>
        <w:rPr>
          <w:rFonts w:ascii="Arial" w:hAnsi="Arial" w:eastAsia="Arial" w:cs="Arial"/>
          <w:smallCaps/>
          <w:color w:val="0000FF"/>
          <w:sz w:val="32"/>
          <w:szCs w:val="32"/>
        </w:rPr>
      </w:pPr>
      <w:r>
        <w:rPr>
          <w:rFonts w:eastAsia="Arial" w:cs="Arial" w:ascii="Arial" w:hAnsi="Arial"/>
          <w:b/>
          <w:smallCaps/>
          <w:color w:val="405CA1"/>
          <w:sz w:val="32"/>
          <w:szCs w:val="32"/>
        </w:rPr>
        <w:t>CRITÉRIO DE JULGAMENTO:</w:t>
      </w:r>
    </w:p>
    <w:p>
      <w:pPr>
        <w:pStyle w:val="LOnormal"/>
        <w:jc w:val="both"/>
        <w:rPr>
          <w:rFonts w:ascii="Arial" w:hAnsi="Arial" w:eastAsia="Arial" w:cs="Arial"/>
          <w:sz w:val="28"/>
          <w:szCs w:val="28"/>
        </w:rPr>
      </w:pPr>
      <w:r>
        <w:rPr>
          <w:rFonts w:eastAsia="Arial" w:cs="Arial" w:ascii="Arial" w:hAnsi="Arial"/>
          <w:color w:val="595959"/>
          <w:sz w:val="28"/>
          <w:szCs w:val="28"/>
        </w:rPr>
        <w:t xml:space="preserve">menor preço </w:t>
      </w:r>
      <w:r>
        <w:rPr>
          <w:rFonts w:eastAsia="Arial" w:cs="Arial" w:ascii="Arial" w:hAnsi="Arial"/>
          <w:sz w:val="28"/>
          <w:szCs w:val="28"/>
        </w:rPr>
        <w:t>por</w:t>
      </w:r>
      <w:r>
        <w:rPr>
          <w:rFonts w:eastAsia="Arial" w:cs="Arial" w:ascii="Arial" w:hAnsi="Arial"/>
          <w:color w:val="FF0000"/>
          <w:sz w:val="28"/>
          <w:szCs w:val="28"/>
        </w:rPr>
        <w:t xml:space="preserve"> </w:t>
      </w:r>
      <w:r>
        <w:rPr>
          <w:rFonts w:eastAsia="Arial" w:cs="Arial" w:ascii="Arial" w:hAnsi="Arial"/>
          <w:color w:val="595959"/>
          <w:sz w:val="28"/>
          <w:szCs w:val="28"/>
        </w:rPr>
        <w:t>item</w:t>
      </w:r>
    </w:p>
    <w:p>
      <w:pPr>
        <w:pStyle w:val="LOnormal"/>
        <w:jc w:val="both"/>
        <w:rPr>
          <w:rFonts w:ascii="Arial" w:hAnsi="Arial" w:eastAsia="Arial" w:cs="Arial"/>
          <w:sz w:val="26"/>
          <w:szCs w:val="26"/>
        </w:rPr>
      </w:pPr>
      <w:r>
        <w:rPr>
          <w:rFonts w:eastAsia="Arial" w:cs="Arial" w:ascii="Arial" w:hAnsi="Arial"/>
          <w:sz w:val="26"/>
          <w:szCs w:val="26"/>
        </w:rPr>
      </w:r>
    </w:p>
    <w:p>
      <w:pPr>
        <w:pStyle w:val="LOnormal"/>
        <w:jc w:val="both"/>
        <w:rPr>
          <w:rFonts w:ascii="Arial" w:hAnsi="Arial" w:eastAsia="Arial" w:cs="Arial"/>
          <w:smallCaps/>
          <w:sz w:val="32"/>
          <w:szCs w:val="32"/>
        </w:rPr>
      </w:pPr>
      <w:r>
        <w:rPr>
          <w:rFonts w:eastAsia="Arial" w:cs="Arial" w:ascii="Arial" w:hAnsi="Arial"/>
          <w:b/>
          <w:smallCaps/>
          <w:color w:val="405CA1"/>
          <w:sz w:val="32"/>
          <w:szCs w:val="32"/>
        </w:rPr>
        <w:t>MODO DE DISPUTA:</w:t>
      </w:r>
    </w:p>
    <w:p>
      <w:pPr>
        <w:pStyle w:val="LOnormal"/>
        <w:jc w:val="both"/>
        <w:rPr>
          <w:rFonts w:ascii="Arial" w:hAnsi="Arial" w:eastAsia="Arial" w:cs="Arial"/>
          <w:sz w:val="28"/>
          <w:szCs w:val="28"/>
        </w:rPr>
      </w:pPr>
      <w:r>
        <w:rPr>
          <w:rFonts w:eastAsia="Arial" w:cs="Arial" w:ascii="Arial" w:hAnsi="Arial"/>
          <w:color w:val="595959"/>
          <w:sz w:val="28"/>
          <w:szCs w:val="28"/>
        </w:rPr>
        <w:t>aberto</w:t>
      </w:r>
    </w:p>
    <w:p>
      <w:pPr>
        <w:pStyle w:val="LOnormal"/>
        <w:rPr>
          <w:rFonts w:ascii="Arial" w:hAnsi="Arial" w:eastAsia="Arial" w:cs="Arial"/>
          <w:color w:val="5B5B5F"/>
          <w:sz w:val="26"/>
          <w:szCs w:val="26"/>
        </w:rPr>
      </w:pPr>
      <w:r>
        <w:rPr>
          <w:rFonts w:eastAsia="Arial" w:cs="Arial" w:ascii="Arial" w:hAnsi="Arial"/>
          <w:color w:val="5B5B5F"/>
          <w:sz w:val="26"/>
          <w:szCs w:val="26"/>
        </w:rPr>
      </w:r>
    </w:p>
    <w:p>
      <w:pPr>
        <w:pStyle w:val="LOnormal"/>
        <w:rPr>
          <w:rFonts w:ascii="Arial" w:hAnsi="Arial" w:eastAsia="Arial" w:cs="Arial"/>
          <w:b/>
          <w:b/>
          <w:color w:val="405CA1"/>
          <w:sz w:val="26"/>
          <w:szCs w:val="26"/>
        </w:rPr>
      </w:pPr>
      <w:r>
        <w:rPr>
          <w:rFonts w:eastAsia="Arial" w:cs="Arial" w:ascii="Arial" w:hAnsi="Arial"/>
          <w:b/>
          <w:color w:val="405CA1"/>
          <w:sz w:val="26"/>
          <w:szCs w:val="26"/>
        </w:rPr>
      </w:r>
    </w:p>
    <w:p>
      <w:pPr>
        <w:pStyle w:val="LOnormal"/>
        <w:rPr>
          <w:rFonts w:ascii="Arial" w:hAnsi="Arial" w:eastAsia="Arial" w:cs="Arial"/>
          <w:b/>
          <w:b/>
          <w:color w:val="405CA1"/>
          <w:sz w:val="32"/>
          <w:szCs w:val="32"/>
        </w:rPr>
      </w:pPr>
      <w:r>
        <w:rPr>
          <w:rFonts w:eastAsia="Arial" w:cs="Arial" w:ascii="Arial" w:hAnsi="Arial"/>
          <w:b/>
          <w:color w:val="405CA1"/>
          <w:sz w:val="32"/>
          <w:szCs w:val="32"/>
        </w:rPr>
        <w:t>PREFERÊNCIA ME/EPP/EQUIPARADAS</w:t>
      </w:r>
    </w:p>
    <w:p>
      <w:pPr>
        <w:pStyle w:val="LOnormal"/>
        <w:rPr>
          <w:rFonts w:ascii="Arial" w:hAnsi="Arial" w:eastAsia="Arial" w:cs="Arial"/>
          <w:b/>
          <w:b/>
          <w:color w:val="5B5B5F"/>
          <w:sz w:val="26"/>
          <w:szCs w:val="26"/>
        </w:rPr>
      </w:pPr>
      <w:r>
        <w:rPr>
          <w:rFonts w:eastAsia="Arial" w:cs="Arial" w:ascii="Arial" w:hAnsi="Arial"/>
          <w:b/>
          <w:color w:val="5B5B5F"/>
          <w:sz w:val="26"/>
          <w:szCs w:val="26"/>
        </w:rPr>
        <w:t>SIM</w:t>
      </w:r>
    </w:p>
    <w:p>
      <w:pPr>
        <w:pStyle w:val="LOnormal"/>
        <w:rPr>
          <w:rFonts w:ascii="Arial" w:hAnsi="Arial" w:eastAsia="Arial" w:cs="Arial"/>
          <w:b/>
          <w:b/>
          <w:color w:val="5B5B5F"/>
          <w:sz w:val="28"/>
          <w:szCs w:val="28"/>
        </w:rPr>
      </w:pPr>
      <w:r>
        <w:rPr>
          <w:rFonts w:eastAsia="Arial" w:cs="Arial" w:ascii="Arial" w:hAnsi="Arial"/>
          <w:b/>
          <w:color w:val="5B5B5F"/>
          <w:sz w:val="28"/>
          <w:szCs w:val="28"/>
        </w:rPr>
      </w:r>
    </w:p>
    <w:p>
      <w:pPr>
        <w:pStyle w:val="LOnormal"/>
        <w:rPr>
          <w:rFonts w:ascii="Arial" w:hAnsi="Arial" w:eastAsia="Arial" w:cs="Arial"/>
          <w:b/>
          <w:b/>
          <w:color w:val="5B5B5F"/>
          <w:sz w:val="28"/>
          <w:szCs w:val="28"/>
        </w:rPr>
      </w:pPr>
      <w:r>
        <w:rPr>
          <w:rFonts w:eastAsia="Arial" w:cs="Arial" w:ascii="Arial" w:hAnsi="Arial"/>
          <w:b/>
          <w:color w:val="5B5B5F"/>
          <w:sz w:val="28"/>
          <w:szCs w:val="28"/>
        </w:rPr>
      </w:r>
    </w:p>
    <w:p>
      <w:pPr>
        <w:pStyle w:val="LOnormal"/>
        <w:keepNext w:val="true"/>
        <w:keepLines/>
        <w:pageBreakBefore w:val="false"/>
        <w:widowControl/>
        <w:shd w:val="clear" w:fill="auto"/>
        <w:spacing w:lineRule="auto" w:line="259" w:before="240" w:after="0"/>
        <w:ind w:left="0" w:right="0" w:hanging="0"/>
        <w:jc w:val="left"/>
        <w:rPr>
          <w:rFonts w:ascii="Calibri" w:hAnsi="Calibri" w:eastAsia="Calibri" w:cs="Calibri"/>
          <w:b w:val="false"/>
          <w:b w:val="false"/>
          <w:i w:val="false"/>
          <w:i w:val="false"/>
          <w:caps w:val="false"/>
          <w:smallCaps w:val="false"/>
          <w:strike w:val="false"/>
          <w:dstrike w:val="false"/>
          <w:color w:val="366091"/>
          <w:position w:val="0"/>
          <w:sz w:val="24"/>
          <w:sz w:val="32"/>
          <w:szCs w:val="32"/>
          <w:u w:val="none"/>
          <w:vertAlign w:val="baseline"/>
        </w:rPr>
      </w:pPr>
      <w:r>
        <w:rPr>
          <w:rFonts w:eastAsia="Arial" w:cs="Arial" w:ascii="Arial" w:hAnsi="Arial"/>
          <w:b w:val="false"/>
          <w:i w:val="false"/>
          <w:caps w:val="false"/>
          <w:smallCaps w:val="false"/>
          <w:strike w:val="false"/>
          <w:dstrike w:val="false"/>
          <w:color w:val="366091"/>
          <w:position w:val="0"/>
          <w:sz w:val="22"/>
          <w:sz w:val="22"/>
          <w:szCs w:val="22"/>
          <w:u w:val="none"/>
          <w:shd w:fill="auto" w:val="clear"/>
          <w:vertAlign w:val="baseline"/>
        </w:rPr>
        <w:t>Sumário</w:t>
      </w:r>
    </w:p>
    <w:p>
      <w:pPr>
        <w:pStyle w:val="LOnormal"/>
        <w:rPr>
          <w:rFonts w:ascii="Arial" w:hAnsi="Arial" w:eastAsia="Arial" w:cs="Arial"/>
        </w:rPr>
      </w:pPr>
      <w:r>
        <w:rPr>
          <w:rFonts w:eastAsia="Arial" w:cs="Arial" w:ascii="Arial" w:hAnsi="Arial"/>
        </w:rPr>
      </w:r>
    </w:p>
    <w:sdt>
      <w:sdtPr>
        <w:docPartObj>
          <w:docPartGallery w:val="Table of Contents"/>
          <w:docPartUnique w:val="true"/>
        </w:docPartObj>
      </w:sdtPr>
      <w:sdtContent>
        <w:p>
          <w:pPr>
            <w:pStyle w:val="LOnormal"/>
            <w:keepNext w:val="false"/>
            <w:keepLines w:val="false"/>
            <w:pageBreakBefore w:val="false"/>
            <w:widowControl/>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fldChar w:fldCharType="begin"/>
          </w:r>
          <w:r>
            <w:rPr>
              <w:webHidden/>
              <w:rStyle w:val="Vnculodendice"/>
              <w:smallCaps w:val="false"/>
              <w:caps w:val="false"/>
              <w:dstrike w:val="false"/>
              <w:strike w:val="false"/>
              <w:vertAlign w:val="baseline"/>
              <w:position w:val="0"/>
              <w:sz w:val="20"/>
              <w:sz w:val="20"/>
              <w:i w:val="false"/>
              <w:u w:val="none"/>
              <w:b w:val="false"/>
              <w:shd w:fill="auto" w:val="clear"/>
              <w:szCs w:val="20"/>
              <w:vanish w:val="false"/>
              <w:rFonts w:eastAsia="Arial" w:cs="Arial" w:ascii="Arial" w:hAnsi="Arial"/>
              <w:color w:val="000000"/>
            </w:rPr>
            <w:instrText> TOC \z \o "1-9" \u \t "Título 1,1,Título 2,2,Título 3,3" \h</w:instrText>
          </w:r>
          <w:r>
            <w:rPr>
              <w:webHidden/>
              <w:rStyle w:val="Vnculodendice"/>
              <w:smallCaps w:val="false"/>
              <w:caps w:val="false"/>
              <w:dstrike w:val="false"/>
              <w:strike w:val="false"/>
              <w:vertAlign w:val="baseline"/>
              <w:position w:val="0"/>
              <w:sz w:val="20"/>
              <w:sz w:val="20"/>
              <w:i w:val="false"/>
              <w:u w:val="none"/>
              <w:b w:val="false"/>
              <w:shd w:fill="auto" w:val="clear"/>
              <w:szCs w:val="20"/>
              <w:vanish w:val="false"/>
              <w:rFonts w:eastAsia="Arial" w:cs="Arial" w:ascii="Arial" w:hAnsi="Arial"/>
              <w:color w:val="000000"/>
            </w:rPr>
            <w:fldChar w:fldCharType="separate"/>
          </w:r>
          <w:hyperlink w:anchor="_heading=h.gjdgxs">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1.</w:t>
            </w:r>
          </w:hyperlink>
          <w:hyperlink w:anchor="_heading=h.gjdgxs">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DO OBJETO</w:t>
            <w:tab/>
            <w:t>3</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3cqmetx">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2.</w:t>
            </w:r>
          </w:hyperlink>
          <w:hyperlink w:anchor="_heading=h.3cqmetx">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DO REGISTRO DE PREÇOS </w:t>
            <w:tab/>
            <w:t>3</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30j0zll">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3.</w:t>
            </w:r>
          </w:hyperlink>
          <w:hyperlink w:anchor="_heading=h.30j0zll">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PARTICIPAÇÃO NA LICITAÇÃO</w:t>
            <w:tab/>
            <w:t>3</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1ksv4uv">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4.</w:t>
            </w:r>
          </w:hyperlink>
          <w:hyperlink w:anchor="_heading=h.1ksv4uv">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APRESENTAÇÃO DA PROPOSTA E DOS DOCUMENTOS DE HABILITAÇÃO</w:t>
            <w:tab/>
            <w:t>5</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4i7ojhp">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5.</w:t>
            </w:r>
          </w:hyperlink>
          <w:hyperlink w:anchor="_heading=h.4i7ojhp">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DO PREENCHIMENTO DA PROPOSTA</w:t>
            <w:tab/>
            <w:t>7</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2xcytpi">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6.</w:t>
            </w:r>
          </w:hyperlink>
          <w:hyperlink w:anchor="_heading=h.2xcytpi">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ABERTURA DA SESSÃO, CLASSIFICAÇÃO DAS PROPOSTAS E FORMULAÇÃO DE LANCES</w:t>
            <w:tab/>
            <w:t>8</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23ckvvd">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7.</w:t>
            </w:r>
          </w:hyperlink>
          <w:hyperlink w:anchor="_heading=h.23ckvvd">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FASE DE JULGAMENTO</w:t>
            <w:tab/>
            <w:t>11</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41mghml">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8.</w:t>
            </w:r>
          </w:hyperlink>
          <w:hyperlink w:anchor="_heading=h.41mghml">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FASE DE HABILITAÇÃO</w:t>
            <w:tab/>
            <w:t>13</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hyperlink w:anchor="_heading=h.1rvwp1q">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9.</w:t>
            </w:r>
          </w:hyperlink>
          <w:hyperlink w:anchor="_heading=h.1rvwp1q">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ATA DE REGISTRO DE PREÇOS</w:t>
            <w:tab/>
            <w:t>15</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Cambria" w:hAnsi="Cambria" w:eastAsia="Cambria" w:cs="Cambria"/>
              <w:b w:val="false"/>
              <w:b w:val="false"/>
              <w:i w:val="false"/>
              <w:i w:val="false"/>
              <w:caps w:val="false"/>
              <w:smallCaps w:val="false"/>
              <w:strike w:val="false"/>
              <w:dstrike w:val="false"/>
              <w:color w:val="000000"/>
              <w:position w:val="0"/>
              <w:sz w:val="20"/>
              <w:sz w:val="22"/>
              <w:szCs w:val="22"/>
              <w:u w:val="none"/>
              <w:shd w:fill="auto" w:val="clear"/>
              <w:vertAlign w:val="baseline"/>
            </w:rPr>
          </w:pPr>
          <w:hyperlink w:anchor="_heading=h.2u6wntf">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10.</w:t>
            </w:r>
          </w:hyperlink>
          <w:hyperlink w:anchor="_heading=h.2u6wntf">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FORMAÇÃO DO CADASTRO DE RESERVA</w:t>
            <w:tab/>
            <w:t>16</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Cambria" w:hAnsi="Cambria" w:eastAsia="Cambria" w:cs="Cambria"/>
              <w:b w:val="false"/>
              <w:b w:val="false"/>
              <w:i w:val="false"/>
              <w:i w:val="false"/>
              <w:caps w:val="false"/>
              <w:smallCaps w:val="false"/>
              <w:strike w:val="false"/>
              <w:dstrike w:val="false"/>
              <w:color w:val="000000"/>
              <w:position w:val="0"/>
              <w:sz w:val="20"/>
              <w:sz w:val="22"/>
              <w:szCs w:val="22"/>
              <w:u w:val="none"/>
              <w:shd w:fill="auto" w:val="clear"/>
              <w:vertAlign w:val="baseline"/>
            </w:rPr>
          </w:pPr>
          <w:hyperlink w:anchor="_heading=h.3tbugp1">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11.</w:t>
            </w:r>
          </w:hyperlink>
          <w:hyperlink w:anchor="_heading=h.3tbugp1">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DOS RECURSOS</w:t>
            <w:tab/>
            <w:t>16</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Cambria" w:hAnsi="Cambria" w:eastAsia="Cambria" w:cs="Cambria"/>
              <w:b w:val="false"/>
              <w:b w:val="false"/>
              <w:i w:val="false"/>
              <w:i w:val="false"/>
              <w:caps w:val="false"/>
              <w:smallCaps w:val="false"/>
              <w:strike w:val="false"/>
              <w:dstrike w:val="false"/>
              <w:color w:val="000000"/>
              <w:position w:val="0"/>
              <w:sz w:val="20"/>
              <w:sz w:val="22"/>
              <w:szCs w:val="22"/>
              <w:u w:val="none"/>
              <w:shd w:fill="auto" w:val="clear"/>
              <w:vertAlign w:val="baseline"/>
            </w:rPr>
          </w:pPr>
          <w:hyperlink w:anchor="_heading=h.4bvk7pj">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12.</w:t>
            </w:r>
          </w:hyperlink>
          <w:hyperlink w:anchor="_heading=h.4bvk7pj">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DAS INFRAÇÕES ADMINISTRATIVAS E SANÇÕES</w:t>
            <w:tab/>
            <w:t>17</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Cambria" w:hAnsi="Cambria" w:eastAsia="Cambria" w:cs="Cambria"/>
              <w:b w:val="false"/>
              <w:b w:val="false"/>
              <w:i w:val="false"/>
              <w:i w:val="false"/>
              <w:caps w:val="false"/>
              <w:smallCaps w:val="false"/>
              <w:strike w:val="false"/>
              <w:dstrike w:val="false"/>
              <w:color w:val="000000"/>
              <w:position w:val="0"/>
              <w:sz w:val="20"/>
              <w:sz w:val="22"/>
              <w:szCs w:val="22"/>
              <w:u w:val="none"/>
              <w:shd w:fill="auto" w:val="clear"/>
              <w:vertAlign w:val="baseline"/>
            </w:rPr>
          </w:pPr>
          <w:hyperlink w:anchor="_heading=h.2zbgiuw">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13.</w:t>
            </w:r>
          </w:hyperlink>
          <w:hyperlink w:anchor="_heading=h.2zbgiuw">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 IMPUGNAÇÃO AO EDITAL E DO PEDIDO DE ESCLARECIMENTO</w:t>
            <w:tab/>
            <w:t>19</w:t>
          </w:r>
        </w:p>
        <w:p>
          <w:pPr>
            <w:pStyle w:val="LOnormal"/>
            <w:keepNext w:val="false"/>
            <w:keepLines w:val="false"/>
            <w:pageBreakBefore w:val="false"/>
            <w:widowControl/>
            <w:shd w:val="clear" w:fill="auto"/>
            <w:tabs>
              <w:tab w:val="clear" w:pos="720"/>
              <w:tab w:val="left" w:pos="426" w:leader="none"/>
              <w:tab w:val="right" w:pos="9628" w:leader="none"/>
            </w:tabs>
            <w:spacing w:lineRule="auto" w:line="240" w:before="0" w:after="100"/>
            <w:ind w:left="0" w:right="0" w:hanging="0"/>
            <w:jc w:val="left"/>
            <w:rPr>
              <w:rFonts w:ascii="Cambria" w:hAnsi="Cambria" w:eastAsia="Cambria" w:cs="Cambria"/>
              <w:b w:val="false"/>
              <w:b w:val="false"/>
              <w:i w:val="false"/>
              <w:i w:val="false"/>
              <w:caps w:val="false"/>
              <w:smallCaps w:val="false"/>
              <w:strike w:val="false"/>
              <w:dstrike w:val="false"/>
              <w:color w:val="000000"/>
              <w:position w:val="0"/>
              <w:sz w:val="24"/>
              <w:sz w:val="22"/>
              <w:szCs w:val="22"/>
              <w:u w:val="none"/>
              <w:vertAlign w:val="baseline"/>
            </w:rPr>
          </w:pPr>
          <w:hyperlink w:anchor="_heading=h.1egqt2p">
            <w:r>
              <w:rPr>
                <w:webHidden/>
                <w:rStyle w:val="Vnculodendice"/>
                <w:rFonts w:eastAsia="Arial" w:cs="Arial" w:ascii="Arial" w:hAnsi="Arial"/>
                <w:b w:val="false"/>
                <w:i w:val="false"/>
                <w:caps w:val="false"/>
                <w:smallCaps w:val="false"/>
                <w:strike w:val="false"/>
                <w:dstrike w:val="false"/>
                <w:vanish w:val="false"/>
                <w:color w:val="000000"/>
                <w:position w:val="0"/>
                <w:sz w:val="20"/>
                <w:sz w:val="20"/>
                <w:szCs w:val="20"/>
                <w:u w:val="none"/>
                <w:shd w:fill="auto" w:val="clear"/>
                <w:vertAlign w:val="baseline"/>
              </w:rPr>
              <w:t>14.</w:t>
            </w:r>
          </w:hyperlink>
          <w:hyperlink w:anchor="_heading=h.1egqt2p">
            <w:r>
              <w:rPr>
                <w:webHidden/>
                <w:rStyle w:val="Vnculodendice"/>
                <w:rFonts w:eastAsia="Cambria" w:cs="Cambria" w:ascii="Cambria" w:hAnsi="Cambria"/>
                <w:b w:val="false"/>
                <w:i w:val="false"/>
                <w:caps w:val="false"/>
                <w:smallCaps w:val="false"/>
                <w:strike w:val="false"/>
                <w:dstrike w:val="false"/>
                <w:vanish w:val="false"/>
                <w:color w:val="000000"/>
                <w:position w:val="0"/>
                <w:sz w:val="22"/>
                <w:sz w:val="22"/>
                <w:szCs w:val="22"/>
                <w:u w:val="none"/>
                <w:shd w:fill="auto" w:val="clear"/>
                <w:vertAlign w:val="baseline"/>
              </w:rPr>
              <w:tab/>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DAS DISPOSIÇÕES GERAIS</w:t>
            <w:tab/>
            <w:t>19</w: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end"/>
          </w:r>
        </w:p>
      </w:sdtContent>
    </w:sdt>
    <w:p>
      <w:pPr>
        <w:pStyle w:val="LOnormal"/>
        <w:rPr>
          <w:rFonts w:ascii="Arial" w:hAnsi="Arial" w:eastAsia="Arial" w:cs="Arial"/>
          <w:b/>
          <w:b/>
          <w:sz w:val="22"/>
          <w:szCs w:val="22"/>
        </w:rPr>
      </w:pPr>
      <w:r>
        <w:rPr>
          <w:rFonts w:eastAsia="Arial" w:cs="Arial" w:ascii="Arial" w:hAnsi="Arial"/>
          <w:b/>
          <w:sz w:val="22"/>
          <w:szCs w:val="22"/>
        </w:rPr>
      </w:r>
    </w:p>
    <w:p>
      <w:pPr>
        <w:pStyle w:val="LOnormal"/>
        <w:rPr>
          <w:rFonts w:ascii="Arial" w:hAnsi="Arial" w:eastAsia="Arial" w:cs="Arial"/>
          <w:b/>
          <w:b/>
          <w:color w:val="5B5B5F"/>
          <w:sz w:val="28"/>
          <w:szCs w:val="28"/>
        </w:rPr>
      </w:pPr>
      <w:r>
        <w:rPr>
          <w:rFonts w:eastAsia="Arial" w:cs="Arial" w:ascii="Arial" w:hAnsi="Arial"/>
          <w:b/>
          <w:color w:val="5B5B5F"/>
          <w:sz w:val="28"/>
          <w:szCs w:val="28"/>
        </w:rPr>
      </w:r>
      <w:r>
        <w:br w:type="page"/>
      </w:r>
    </w:p>
    <w:p>
      <w:pPr>
        <w:pStyle w:val="LOnormal"/>
        <w:spacing w:lineRule="auto" w:line="240" w:before="0" w:after="0"/>
        <w:ind w:left="0" w:right="0" w:hanging="0"/>
        <w:jc w:val="center"/>
        <w:rPr>
          <w:rFonts w:ascii="Arial" w:hAnsi="Arial" w:eastAsia="Arial" w:cs="Arial"/>
          <w:b/>
          <w:b/>
          <w:i/>
          <w:i/>
          <w:color w:val="FF0000"/>
          <w:sz w:val="20"/>
          <w:szCs w:val="20"/>
        </w:rPr>
      </w:pPr>
      <w:r>
        <w:rPr/>
        <w:drawing>
          <wp:inline distT="0" distB="0" distL="0" distR="0">
            <wp:extent cx="760095" cy="752475"/>
            <wp:effectExtent l="0" t="0" r="0" b="0"/>
            <wp:docPr id="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descr=""/>
                    <pic:cNvPicPr>
                      <a:picLocks noChangeAspect="1" noChangeArrowheads="1"/>
                    </pic:cNvPicPr>
                  </pic:nvPicPr>
                  <pic:blipFill>
                    <a:blip r:embed="rId2"/>
                    <a:srcRect l="-6461" t="-3156" r="-6461" b="-3156"/>
                    <a:stretch>
                      <a:fillRect/>
                    </a:stretch>
                  </pic:blipFill>
                  <pic:spPr bwMode="auto">
                    <a:xfrm>
                      <a:off x="0" y="0"/>
                      <a:ext cx="760095" cy="752475"/>
                    </a:xfrm>
                    <a:prstGeom prst="rect">
                      <a:avLst/>
                    </a:prstGeom>
                  </pic:spPr>
                </pic:pic>
              </a:graphicData>
            </a:graphic>
          </wp:inline>
        </w:drawing>
      </w:r>
    </w:p>
    <w:p>
      <w:pPr>
        <w:pStyle w:val="LOnormal"/>
        <w:keepNext w:val="true"/>
        <w:keepLines/>
        <w:pageBreakBefore w:val="false"/>
        <w:widowControl/>
        <w:shd w:val="clear" w:fill="auto"/>
        <w:tabs>
          <w:tab w:val="clear" w:pos="720"/>
          <w:tab w:val="left" w:pos="567" w:leader="none"/>
        </w:tabs>
        <w:spacing w:lineRule="auto" w:line="240" w:before="0" w:after="0"/>
        <w:ind w:left="0" w:right="0" w:hanging="0"/>
        <w:jc w:val="center"/>
        <w:rPr>
          <w:rFonts w:ascii="aRIAL" w:hAnsi="aRIAL" w:eastAsia="aRIAL" w:cs="aRIAL"/>
          <w:b/>
          <w:b/>
          <w:i w:val="false"/>
          <w:i w:val="false"/>
          <w:caps w:val="false"/>
          <w:smallCaps w:val="false"/>
          <w:strike w:val="false"/>
          <w:dstrike w:val="false"/>
          <w:color w:val="000000"/>
          <w:position w:val="0"/>
          <w:sz w:val="24"/>
          <w:sz w:val="18"/>
          <w:szCs w:val="18"/>
          <w:u w:val="none"/>
          <w:vertAlign w:val="baseline"/>
        </w:rPr>
      </w:pPr>
      <w:r>
        <w:rPr>
          <w:rFonts w:eastAsia="aRIAL" w:cs="aRIAL" w:ascii="aRIAL" w:hAnsi="aRIAL"/>
          <w:b/>
          <w:i w:val="false"/>
          <w:caps w:val="false"/>
          <w:smallCaps w:val="false"/>
          <w:strike w:val="false"/>
          <w:dstrike w:val="false"/>
          <w:color w:val="000000"/>
          <w:position w:val="0"/>
          <w:sz w:val="18"/>
          <w:sz w:val="18"/>
          <w:szCs w:val="18"/>
          <w:u w:val="none"/>
          <w:shd w:fill="auto" w:val="clear"/>
          <w:vertAlign w:val="baseline"/>
        </w:rPr>
        <w:t>MINISTÉRIO DA DEFESA</w:t>
      </w:r>
    </w:p>
    <w:p>
      <w:pPr>
        <w:pStyle w:val="LOnormal"/>
        <w:keepNext w:val="true"/>
        <w:keepLines/>
        <w:pageBreakBefore w:val="false"/>
        <w:widowControl/>
        <w:shd w:val="clear" w:fill="auto"/>
        <w:tabs>
          <w:tab w:val="clear" w:pos="720"/>
          <w:tab w:val="left" w:pos="567" w:leader="none"/>
        </w:tabs>
        <w:spacing w:lineRule="auto" w:line="240" w:before="0" w:after="0"/>
        <w:ind w:left="0" w:right="0" w:hanging="0"/>
        <w:jc w:val="center"/>
        <w:rPr>
          <w:rFonts w:ascii="aRIAL" w:hAnsi="aRIAL" w:eastAsia="aRIAL" w:cs="aRIAL"/>
          <w:b/>
          <w:b/>
          <w:i w:val="false"/>
          <w:i w:val="false"/>
          <w:caps w:val="false"/>
          <w:smallCaps w:val="false"/>
          <w:strike w:val="false"/>
          <w:dstrike w:val="false"/>
          <w:color w:val="000000"/>
          <w:position w:val="0"/>
          <w:sz w:val="24"/>
          <w:sz w:val="18"/>
          <w:szCs w:val="18"/>
          <w:u w:val="none"/>
          <w:vertAlign w:val="baseline"/>
        </w:rPr>
      </w:pPr>
      <w:r>
        <w:rPr>
          <w:rFonts w:eastAsia="aRIAL" w:cs="aRIAL" w:ascii="aRIAL" w:hAnsi="aRIAL"/>
          <w:b/>
          <w:i w:val="false"/>
          <w:caps w:val="false"/>
          <w:smallCaps w:val="false"/>
          <w:strike w:val="false"/>
          <w:dstrike w:val="false"/>
          <w:color w:val="000000"/>
          <w:position w:val="0"/>
          <w:sz w:val="18"/>
          <w:sz w:val="18"/>
          <w:szCs w:val="18"/>
          <w:u w:val="none"/>
          <w:shd w:fill="auto" w:val="clear"/>
          <w:vertAlign w:val="baseline"/>
        </w:rPr>
        <w:t>EXÉRCITO BRASILEIRO</w:t>
      </w:r>
    </w:p>
    <w:p>
      <w:pPr>
        <w:pStyle w:val="LOnormal"/>
        <w:keepNext w:val="true"/>
        <w:keepLines/>
        <w:pageBreakBefore w:val="false"/>
        <w:widowControl/>
        <w:shd w:val="clear" w:fill="auto"/>
        <w:tabs>
          <w:tab w:val="clear" w:pos="720"/>
          <w:tab w:val="left" w:pos="567" w:leader="none"/>
        </w:tabs>
        <w:spacing w:lineRule="auto" w:line="240" w:before="0" w:after="0"/>
        <w:ind w:left="0" w:right="0" w:hanging="0"/>
        <w:jc w:val="center"/>
        <w:rPr>
          <w:rFonts w:ascii="aRIAL" w:hAnsi="aRIAL" w:eastAsia="aRIAL" w:cs="aRIAL"/>
          <w:b/>
          <w:b/>
          <w:i w:val="false"/>
          <w:i w:val="false"/>
          <w:caps w:val="false"/>
          <w:smallCaps w:val="false"/>
          <w:strike w:val="false"/>
          <w:dstrike w:val="false"/>
          <w:color w:val="000000"/>
          <w:position w:val="0"/>
          <w:sz w:val="24"/>
          <w:sz w:val="18"/>
          <w:szCs w:val="18"/>
          <w:u w:val="none"/>
          <w:vertAlign w:val="baseline"/>
        </w:rPr>
      </w:pPr>
      <w:r>
        <w:rPr>
          <w:rFonts w:eastAsia="aRIAL" w:cs="aRIAL" w:ascii="aRIAL" w:hAnsi="aRIAL"/>
          <w:b/>
          <w:i w:val="false"/>
          <w:caps w:val="false"/>
          <w:smallCaps w:val="false"/>
          <w:strike w:val="false"/>
          <w:dstrike w:val="false"/>
          <w:color w:val="000000"/>
          <w:position w:val="0"/>
          <w:sz w:val="18"/>
          <w:sz w:val="18"/>
          <w:szCs w:val="18"/>
          <w:u w:val="none"/>
          <w:shd w:fill="auto" w:val="clear"/>
          <w:vertAlign w:val="baseline"/>
        </w:rPr>
        <w:t>PARQUE REGIONAL DE MANUTENÇÃO/5</w:t>
      </w:r>
    </w:p>
    <w:p>
      <w:pPr>
        <w:pStyle w:val="LOnormal"/>
        <w:keepNext w:val="true"/>
        <w:keepLines/>
        <w:pageBreakBefore w:val="false"/>
        <w:widowControl/>
        <w:shd w:val="clear" w:fill="auto"/>
        <w:tabs>
          <w:tab w:val="clear" w:pos="720"/>
          <w:tab w:val="left" w:pos="567" w:leader="none"/>
        </w:tabs>
        <w:spacing w:lineRule="auto" w:line="240" w:before="0" w:after="0"/>
        <w:ind w:left="0" w:right="0" w:hanging="0"/>
        <w:jc w:val="center"/>
        <w:rPr>
          <w:rFonts w:ascii="aRIAL" w:hAnsi="aRIAL" w:eastAsia="aRIAL" w:cs="aRIAL"/>
          <w:b/>
          <w:b/>
          <w:i w:val="false"/>
          <w:i w:val="false"/>
          <w:caps w:val="false"/>
          <w:smallCaps w:val="false"/>
          <w:strike w:val="false"/>
          <w:dstrike w:val="false"/>
          <w:color w:val="000000"/>
          <w:position w:val="0"/>
          <w:sz w:val="24"/>
          <w:sz w:val="18"/>
          <w:szCs w:val="18"/>
          <w:u w:val="none"/>
          <w:vertAlign w:val="baseline"/>
        </w:rPr>
      </w:pPr>
      <w:r>
        <w:rPr>
          <w:rFonts w:eastAsia="aRIAL" w:cs="aRIAL" w:ascii="aRIAL" w:hAnsi="aRIAL"/>
          <w:b/>
          <w:i w:val="false"/>
          <w:caps w:val="false"/>
          <w:smallCaps w:val="false"/>
          <w:strike w:val="false"/>
          <w:dstrike w:val="false"/>
          <w:color w:val="000000"/>
          <w:position w:val="0"/>
          <w:sz w:val="18"/>
          <w:sz w:val="18"/>
          <w:szCs w:val="18"/>
          <w:u w:val="none"/>
          <w:shd w:fill="auto" w:val="clear"/>
          <w:vertAlign w:val="baseline"/>
        </w:rPr>
        <w:t>(PARQUE GENERAL ANTÔNIO DE FREITAS BRANDÃO)</w:t>
      </w:r>
    </w:p>
    <w:p>
      <w:pPr>
        <w:pStyle w:val="LOnormal"/>
        <w:spacing w:lineRule="auto" w:line="312" w:before="288" w:after="288"/>
        <w:ind w:firstLine="567"/>
        <w:jc w:val="center"/>
        <w:rPr>
          <w:rFonts w:ascii="Arial" w:hAnsi="Arial" w:eastAsia="Arial" w:cs="Arial"/>
          <w:b/>
          <w:b/>
          <w:color w:val="000000"/>
          <w:sz w:val="20"/>
          <w:szCs w:val="20"/>
        </w:rPr>
      </w:pPr>
      <w:r>
        <w:rPr>
          <w:rFonts w:eastAsia="Arial" w:cs="Arial" w:ascii="Arial" w:hAnsi="Arial"/>
          <w:b/>
          <w:color w:val="000000"/>
          <w:sz w:val="20"/>
          <w:szCs w:val="20"/>
        </w:rPr>
        <w:t>PREGÃO ELETRÔNICO Nº 03/2023</w:t>
      </w:r>
    </w:p>
    <w:p>
      <w:pPr>
        <w:pStyle w:val="LOnormal"/>
        <w:spacing w:lineRule="auto" w:line="312" w:before="288" w:after="288"/>
        <w:ind w:firstLine="567"/>
        <w:jc w:val="center"/>
        <w:rPr>
          <w:rFonts w:ascii="Arial" w:hAnsi="Arial" w:eastAsia="Arial" w:cs="Arial"/>
          <w:color w:val="000000"/>
          <w:sz w:val="20"/>
          <w:szCs w:val="20"/>
        </w:rPr>
      </w:pPr>
      <w:r>
        <w:rPr>
          <w:rFonts w:eastAsia="Arial" w:cs="Arial" w:ascii="Arial" w:hAnsi="Arial"/>
          <w:color w:val="000000"/>
          <w:sz w:val="20"/>
          <w:szCs w:val="20"/>
        </w:rPr>
        <w:t xml:space="preserve">(Processo Administrativo n° </w:t>
      </w:r>
      <w:r>
        <w:rPr>
          <w:rFonts w:eastAsia="Times New Roman" w:cs="Times New Roman" w:ascii="Times New Roman" w:hAnsi="Times New Roman"/>
          <w:b/>
          <w:i w:val="false"/>
          <w:color w:val="000000"/>
          <w:sz w:val="24"/>
          <w:szCs w:val="24"/>
        </w:rPr>
        <w:t>64618.004364/2023-98</w:t>
      </w:r>
      <w:r>
        <w:rPr>
          <w:rFonts w:eastAsia="Arial" w:cs="Arial" w:ascii="Arial" w:hAnsi="Arial"/>
          <w:color w:val="000000"/>
          <w:sz w:val="20"/>
          <w:szCs w:val="20"/>
        </w:rPr>
        <w:t>)</w:t>
      </w:r>
    </w:p>
    <w:p>
      <w:pPr>
        <w:pStyle w:val="LOnormal"/>
        <w:spacing w:lineRule="auto" w:line="312" w:before="288" w:after="288"/>
        <w:ind w:firstLine="567"/>
        <w:jc w:val="center"/>
        <w:rPr>
          <w:rFonts w:ascii="Arial" w:hAnsi="Arial" w:eastAsia="Arial" w:cs="Arial"/>
          <w:b/>
          <w:b/>
          <w:color w:val="000000"/>
          <w:sz w:val="20"/>
          <w:szCs w:val="20"/>
        </w:rPr>
      </w:pPr>
      <w:r>
        <w:rPr>
          <w:rFonts w:eastAsia="Arial" w:cs="Arial" w:ascii="Arial" w:hAnsi="Arial"/>
          <w:b/>
          <w:color w:val="000000"/>
          <w:sz w:val="20"/>
          <w:szCs w:val="20"/>
        </w:rPr>
      </w:r>
    </w:p>
    <w:p>
      <w:pPr>
        <w:pStyle w:val="LOnormal"/>
        <w:keepNext w:val="false"/>
        <w:keepLines w:val="false"/>
        <w:pageBreakBefore w:val="false"/>
        <w:widowControl/>
        <w:shd w:val="clear" w:fill="auto"/>
        <w:spacing w:lineRule="auto" w:line="276" w:before="120" w:after="12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Torna-se público que o Parque Regional de Manutenção da 5ª Região Militar – Pq R Mnt/5, por meio da Seção de Aquisições, Licitações e Contratos - SALC, sediado na Avenida Francisco Manoel Albizu, 320, bairro Bacacheri, Curitiba/PR, CEP: 82.600-370, realizará licitação, para registro de preços, na modalidade PREGÃO, na forma ELETRÔNICA, nos termos da </w:t>
      </w:r>
      <w:hyperlink r:id="rId3">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14.133, de 1º de abril de 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do Decreto nº 11.462, de 31 de março de 2023, e demais legislação aplicável e, ainda, de acordo com as condições estabelecidas neste Edital.</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0" w:name="_heading=h.gjdgxs"/>
      <w:bookmarkEnd w:id="0"/>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DO OBJETO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objeto da presente licitação é a Eventual aquisição de</w:t>
      </w: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 xml:space="preserve">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material de proteção e segurança individual e coletiva </w:t>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nos termos da tabela abaixo, conforme condições e exigências estabelecidas neste instrumento.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licitação será dividida em itens, conforme tabela constante do Termo de Referência, facultando-se ao licitante a participação em quantos itens forem de seu interesse.</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 xml:space="preserve">DO REGISTRO DE PREÇOS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As regras referentes aos órgãos gerenciador e participantes, bem como a eventuais adesões são as que constam da minuta de Ata de Registro de Preços.</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1" w:name="_heading=h.30j0zll"/>
      <w:bookmarkEnd w:id="1"/>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PARTICIPAÇÃO NA LICITAÇÃO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2" w:name="_heading=h.1fob9te"/>
      <w:bookmarkEnd w:id="2"/>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Poderão participar deste Pregão os interessados que estiverem previamente credenciados no Sistema de Cadastramento Unificado de Fornecedores - SICAF e no Sistema de Compras do Governo Federal (</w:t>
      </w:r>
      <w:hyperlink r:id="rId4">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www.gov.br/compras</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3" w:name="_heading=h.3znysh7"/>
      <w:bookmarkEnd w:id="3"/>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interessados deverão atender às condições exigidas no cadastramento no Sicaf até o terceiro dia útil anterior à data prevista para recebimento das propostas.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não observância do disposto no item anterior poderá ensejar desclassificação no momento da habilitação.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Para todos os itens, a participação é exclusiva a microempresas e empresas de pequeno porte, nos termos do </w:t>
      </w:r>
      <w:hyperlink r:id="rId5">
        <w:r>
          <w:rPr>
            <w:rFonts w:eastAsia="Arial" w:cs="Arial" w:ascii="Arial" w:hAnsi="Arial"/>
            <w:b w:val="false"/>
            <w:i w:val="false"/>
            <w:caps w:val="false"/>
            <w:smallCaps w:val="false"/>
            <w:strike w:val="false"/>
            <w:dstrike w:val="false"/>
            <w:color w:val="000000"/>
            <w:position w:val="0"/>
            <w:sz w:val="20"/>
            <w:sz w:val="20"/>
            <w:szCs w:val="20"/>
            <w:u w:val="single"/>
            <w:shd w:fill="auto" w:val="clear"/>
            <w:vertAlign w:val="baseline"/>
          </w:rPr>
          <w:t>art. 48 da Lei Complementar nº 123, de 14 de dezembro de 2006</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i w:val="false"/>
          <w:caps w:val="false"/>
          <w:smallCaps w:val="false"/>
          <w:strike w:val="false"/>
          <w:dstrike w:val="false"/>
          <w:color w:val="000000"/>
          <w:position w:val="0"/>
          <w:sz w:val="20"/>
          <w:sz w:val="20"/>
          <w:szCs w:val="20"/>
          <w:u w:val="single"/>
          <w:shd w:fill="auto" w:val="clear"/>
          <w:vertAlign w:val="baseline"/>
        </w:rPr>
        <w:t xml:space="preserve">Exceto </w:t>
      </w:r>
      <w:r>
        <w:rPr>
          <w:rFonts w:eastAsia="Arial" w:cs="Arial" w:ascii="Arial" w:hAnsi="Arial"/>
          <w:b/>
          <w:sz w:val="20"/>
          <w:szCs w:val="20"/>
          <w:u w:val="single"/>
        </w:rPr>
        <w:t>o item 31 que é destinado a ampla participação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4"/>
          <w:sz w:val="20"/>
          <w:szCs w:val="20"/>
          <w:u w:val="none"/>
          <w:vertAlign w:val="baseline"/>
        </w:rPr>
      </w:pPr>
      <w:bookmarkStart w:id="4" w:name="_heading=h.2et92p0"/>
      <w:bookmarkEnd w:id="4"/>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Será concedido tratamento favorecido para as microempresas e empresas de pequeno porte,para o agricultor familiar, o produtor rural pessoa física e para o microempreendedor individual - MEI, nos limites previstos da </w:t>
      </w:r>
      <w:hyperlink r:id="rId6">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Complementar nº 123, de 2006</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 do Decreto n.º 8.538, de 2015.</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5" w:name="_heading=h.tyjcwt"/>
      <w:bookmarkEnd w:id="5"/>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poderão disputar esta licitação: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aquele que não atenda às condições deste Edital e seu(s) anexo(s);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6" w:name="_heading=h.3dy6vkm"/>
      <w:bookmarkEnd w:id="6"/>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autor do anteprojeto, do projeto básico ou do projeto executivo, pessoa física ou jurídica, quando a licitação versar sobre serviços ou fornecimento de bens a ele relacionados;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7" w:name="_heading=h.1t3h5sf"/>
      <w:bookmarkEnd w:id="7"/>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8" w:name="_heading=h.4d34og8"/>
      <w:bookmarkEnd w:id="8"/>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pessoa física ou jurídica que se encontre, ao tempo da licitação, impossibilitada de participar da licitação em decorrência de sanção que lhe foi imposta;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9" w:name="_heading=h.2s8eyo1"/>
      <w:bookmarkEnd w:id="9"/>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empresas controladoras, controladas ou coligadas, nos termos da Lei nº 6.404, de 15 de dezembro de 1976, concorrendo entre si;</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10" w:name="_heading=h.17dp8vu"/>
      <w:bookmarkEnd w:id="10"/>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agente público do órgão ou entidade licitante;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pessoas jurídicas reunidas em consórcio;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Organizações da Sociedade Civil de Interesse Público - OSCIP, atuando nessa condição;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"art9§1"</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 1º do art. 9º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i/>
          <w:caps w:val="false"/>
          <w:smallCaps w:val="false"/>
          <w:strike w:val="false"/>
          <w:dstrike w:val="false"/>
          <w:color w:val="000000"/>
          <w:position w:val="0"/>
          <w:sz w:val="20"/>
          <w:sz w:val="20"/>
          <w:szCs w:val="20"/>
          <w:u w:val="single"/>
          <w:shd w:fill="auto" w:val="clear"/>
          <w:vertAlign w:val="baseline"/>
        </w:rPr>
        <w:t>sociedades cooperativas.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1" w:name="bookmark=id.3rdcrjn"/>
      <w:bookmarkEnd w:id="11"/>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bookmarkStart w:id="12" w:name="bookmark=id.26in1rg"/>
      <w:bookmarkEnd w:id="12"/>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Equiparam-se aos autores do projeto as empresas integrantes do mesmo grupo econômico.</w:t>
      </w:r>
      <w:bookmarkStart w:id="13" w:name="bookmark=id.lnxbz9"/>
      <w:bookmarkEnd w:id="13"/>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bookmarkStart w:id="14" w:name="bookmark=id.35nkun2"/>
      <w:bookmarkEnd w:id="14"/>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7">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14.133/2021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vedação de que trata o item 3.7.8. estende-se a terceiro que auxilie a condução da contratação na qualidade de integrante de equipe de apoio, profissional especializado ou funcionário ou representante de empresa que preste assessoria técnica.</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15" w:name="_heading=h.1ksv4uv"/>
      <w:bookmarkEnd w:id="15"/>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APRESENTAÇÃO DA PROPOSTA E DOS DOCUMENTOS DE HABILITAÇÃO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16" w:name="_heading=h.44sinio"/>
      <w:bookmarkEnd w:id="16"/>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17" w:name="_heading=h.2jxsxqh"/>
      <w:bookmarkEnd w:id="17"/>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8.1.1.</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 8.11.1. deste Edital.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18" w:name="_heading=h.z337ya"/>
      <w:bookmarkEnd w:id="18"/>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 cadastramento da proposta inicial, o licitante declarará, em campo próprio do sistema, que:</w:t>
      </w:r>
    </w:p>
    <w:p>
      <w:pPr>
        <w:pStyle w:val="LOnormal"/>
        <w:keepNext w:val="false"/>
        <w:keepLines w:val="false"/>
        <w:pageBreakBefore w:val="false"/>
        <w:widowControl/>
        <w:numPr>
          <w:ilvl w:val="2"/>
          <w:numId w:val="3"/>
        </w:numPr>
        <w:shd w:val="clear" w:fill="auto"/>
        <w:spacing w:lineRule="auto" w:line="312" w:before="288" w:after="288"/>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não emprega menor de 18 anos em trabalho noturno, perigoso ou insalubre e não emprega menor de 16 anos, salvo menor, a partir de 14 anos, na condição de aprendiz, nos termos do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"https://www.planalto.gov.br/ccivil_03/constituicao/constituicaocompilado.htm" \l "art7"</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 7°, XXXIII, da Constituição</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não possui empregados executando trabalho degradante ou forçado, observando o disposto nos </w:t>
      </w:r>
      <w:hyperlink r:id="rId8">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incisos III e IV do art. 1º e no inciso III do art. 5º da Constituição Federal</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cumpre as exigências de reserva de cargos para pessoa com deficiência e para reabilitado da Previdência Social, previstas em lei e em outras normas específicas.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licitante organizado em cooperativa deverá declarar, ainda, em campo próprio do sistema eletrônico, que cumpre os requisitos estabelecidos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"art16"</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 16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19" w:name="_heading=h.3j2qqm3"/>
      <w:bookmarkEnd w:id="19"/>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fornecedor enquadrado como microempresa, empresa de pequeno porte ou sociedade cooperativa deverá declarar, ainda, em campo próprio do sistema eletrônico, que cumpre os requisitos estabelecidos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"https://www.planalto.gov.br/ccivil_03/leis/lcp/lcp123.htm" \l "art3"</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 3° da Lei Complementar nº 123, de 2006</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estando apto a usufruir do tratamento favorecido estabelecido em seus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"https://www.planalto.gov.br/ccivil_03/leis/lcp/lcp123.htm" \l "art42"</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arts. 42 a 49</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observado o disposto nos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"art4§1"</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 1º ao 3º do art. 4º,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fldChar w:fldCharType="begin"/>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instrText> HYPERLINK "http://www.planalto.gov.br/ccivil_03/_ato2019-2022/2021/lei/L14133.htm" \l "art4§1"</w:instrTex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separate"/>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 item exclusivo para participação de microempresas e empresas de pequeno porte, a assinalação do campo “não” impedirá o prosseguimento no certame, para aquele item;</w: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end"/>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Complementar nº 123, de 2006</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mesmo que microempresa, empresa de pequeno porte ou sociedade cooperativa.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falsidade da declaração de que trata os itens 4.3. ou 4.5. sujeitará o licitante às sanções previstas na </w:t>
      </w:r>
      <w:hyperlink r:id="rId10">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14.133, de 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e neste Edital.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haverá ordem de classificação na etapa de apresentação da proposta e dos documentos de habilitação pelo licitante, o que ocorrerá somente após os procedimentos de abertura da sessão pública e da fase de envio de lances.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Serão disponibilizados para acesso público os documentos que compõem a proposta dos licitantes convocados para apresentação de propostas, após a fase de envio de lances.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20" w:name="_heading=h.1y810tw"/>
      <w:bookmarkEnd w:id="20"/>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Desde que disponibilizada a funcionalidade no sistema, o licitante poderá parametrizar o seu valor final mínimo ou o seu percentual de desconto máximo quando do cadastramento da proposta e obedecerá às seguintes regras: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aplicação do intervalo mínimo de diferença de valores ou de percentuais entre os lances, que incidirá tanto em relação aos lances intermediários quanto em relação ao lance que cobrir a melhor oferta; 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lances serão de envio automático pelo sistema, respeitado o valor final mínimo, caso estabelecido, e o intervalo de que trata o subitem acima.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valor final mínimo ou o percentual de desconto final máximo parametrizado no sistema poderá ser alterado pelo fornecedor durante a fase de disputa, sendo vedado: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valor superior a lance já registrado pelo fornecedor no sistema, quando adotado o critério de julgamento por menor preço; 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percentual de desconto inferior a lance já registrado pelo fornecedor no sistema, quando adotado o critério de julgamento por maior desconto.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deverá comunicar imediatamente ao provedor do sistema qualquer acontecimento que possa comprometer o sigilo ou a segurança, para imediato bloqueio de acesso.</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0" w:right="0" w:hanging="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21" w:name="_heading=h.4i7ojhp"/>
      <w:bookmarkEnd w:id="21"/>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DO PREENCHIMENTO DA PROPOSTA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deverá enviar sua proposta mediante o preenchimento, no sistema eletrônico, dos seguintes campos: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valor unitário e total do item;</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Marca;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Fabricante; </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Quantidade cotada, devendo respeitar o mínimo da totalidade da quantidade máxima de cada item que poderá ser contratada.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Todas as especificações do objeto contidas na proposta vinculam o licitante.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não poderá oferecer proposta em quantitativo inferior ao máximo previsto para contratação.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Nos valores propostos estarão inclusos todos os custos operacionais, encargos previdenciários, trabalhistas, tributários, comerciais e quaisquer outros que incidam direta ou indiretamente na execução do objeto.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Se o regime tributário da empresa implicar o recolhimento de tributos em percentuais variáveis, a cotação adequada será a que corresponde à média dos efetivos recolhimentos da empresa nos últimos doze meses.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Independentemente do percentual de tributo inserido na planilha, no pagamento serão retidos na fonte os percentuais estabelecidos na legislação vigente.</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prazo de validade da proposta não será inferior a 60 (sessenta) dias</w:t>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a contar da data de sua apresentação.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licitantes devem respeitar os preços máximos estabelecidos nas normas de regência de contratações públicas federais, quando participarem de licitações públicas;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o critério de julgamento seja o de maior desconto, o preço já decorrente da aplicação do desconto ofertado deverá respeitar os preços máximos previstos no item 4.9.</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1">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71, inciso IX, da Constituição</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ou condenação dos agentes públicos responsáveis e da empresa contratada ao pagamento dos prejuízos ao erário, caso verificada a ocorrência de superfaturamento por sobrepreço na execução do contrato.</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22" w:name="_heading=h.2xcytpi"/>
      <w:bookmarkEnd w:id="22"/>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ABERTURA DA SESSÃO, CLASSIFICAÇÃO DAS PROPOSTAS E FORMULAÇÃO DE LANCES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abertura da presente licitação dar-se-á automaticamente em sessão pública, por meio de sistema eletrônico, na data, horário e local indicados neste Edital.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licitantes poderão retirar ou substituir a proposta ou os documentos de habilitação, quando for o caso, anteriormente inseridos no sistema, até a abertura da sessão pública.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sistema disponibilizará campo próprio para troca de mensagens entre o Pregoeiro e os licitantes.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Iniciada a etapa competitiva, os licitantes deverão encaminhar lances exclusivamente por meio de sistema eletrônico, sendo imediatamente informados do seu recebimento e do valor consignado no registro.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lance deverá ser ofertado pelo valor unitário do item</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licitantes poderão oferecer lances sucessivos, observando o horário fixado para abertura da sessão e as regras estabelecidas no Edital.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somente poderá oferecer lance de valor inferior</w:t>
      </w: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ao último por ele ofertado e registrado pelo sistema.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intervalo mínimo de diferença de valores ou percentuais entre os lances, que incidirá tanto em relação aos lances intermediários quanto em relação à proposta que cobrir a melhor oferta deverá ser</w:t>
      </w:r>
      <w:r>
        <w:rPr>
          <w:rFonts w:eastAsia="Arial" w:cs="Arial" w:ascii="Arial" w:hAnsi="Arial"/>
          <w:b w:val="false"/>
          <w:i/>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1 % (um por cento).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poderá, uma única vez, excluir seu último lance ofertado, no intervalo de quinze segundos após o registro no sistema, na hipótese de lance inconsistente ou inexequível.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procedimento seguirá de acordo com o modo de disputa adotado.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23" w:name="_heading=h.1ci93xb"/>
      <w:bookmarkEnd w:id="23"/>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seja adotado para o envio de lances no pregão eletrônico o modo de disputa “aberto”, os licitantes apresentarão lances públicos e sucessivos, com prorrogações.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24" w:name="_heading=h.3whwml4"/>
      <w:bookmarkEnd w:id="24"/>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etapa de lances da sessão pública terá duração de dez minutos e, após isso, será prorrogada automaticamente pelo sistema quando houver lance ofertado nos últimos dois minutos do período de duração da sessão pública.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prorrogação automática da etapa de lances, de que trata o subitem anterior, será de dois minutos e ocorrerá sucessivamente sempre que houver lances enviados nesse período de prorrogação, inclusive no caso de lances intermediários.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havendo novos lances na forma estabelecida nos itens anteriores, a sessão pública encerrar-se-á automaticamente, e o sistema ordenará e divulgará os lances conforme a ordem final de classificação.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25" w:name="_heading=h.2bn6wsx"/>
      <w:bookmarkEnd w:id="25"/>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Após o reinício previsto no item supra, os licitantes serão convocados para apresentar lances intermediários.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seja adotado para o envio de lances no pregão eletrônico o modo de disputa “aberto e fechado”, os licitantes apresentarão lances públicos e sucessivos, com lance final e fechado.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 procedimento de que trata o subitem supra, o licitante poderá optar por manter o seu último lance da etapa aberta, ou por ofertar melhor lance.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26" w:name="_heading=h.qsh70q"/>
      <w:bookmarkEnd w:id="26"/>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Após o término dos prazos estabelecidos nos itens anteriores, o sistema ordenará e divulgará os lances segundo a ordem crescente de valores.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27" w:name="_heading=h.3as4poj"/>
      <w:bookmarkEnd w:id="27"/>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havendo pelo menos 3 (três) propostas nas condições definidas no item 6.13., poderão os licitantes que apresentaram as três melhores propostas, consideradas as empatadas, oferecer novos lances sucessivos.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etapa de lances da sessão pública terá duração de dez minutos e, após isso, será prorrogada automaticamente pelo sistema quando houver lance ofertado nos últimos dois minutos do período de duração da sessão pública.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prorrogação automática da etapa de lances, de que trata o subitem anterior, será de dois minutos e ocorrerá sucessivamente sempre que houver lances enviados nesse período de prorrogação, inclusive no caso de lances intermediários.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havendo novos lances na forma estabelecida nos itens anteriores, a sessão pública encerrar-se-á automaticamente, e o sistema ordenará e divulgará os lances conforme a ordem final de classificação.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Após o reinício previsto no subitem supra, os licitantes serão convocados para apresentar lances intermediários.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Após o término dos prazos estabelecidos nos subitens anteriores, o sistema ordenará e divulgará os lances segundo a ordem crescente de valores.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Não serão aceitos dois ou mais lances de mesmo valor, prevalecendo aquele que for recebido e registrado em primeiro lugar.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Durante o transcurso da sessão pública, os licitantes serão informados, em tempo real, do valor do menor lance registrado, vedada a identificação do licitante.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No caso de desconexão com o Pregoeiro, no decorrer da etapa competitiva do Pregão, o sistema eletrônico poderá permanecer acessível aos licitantes para a recepção dos lances.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o licitante não apresente lances, concorrerá com o valor de sua proposta.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"https://www.planalto.gov.br/ccivil_03/leis/lcp/lcp123.htm" \l "art44"</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arts. 44 e 45 da Lei Complementar nº 123, de 2006</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regulamentada pelo </w:t>
      </w:r>
      <w:hyperlink r:id="rId12">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Decreto nº 8.538, de 2015</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Nessas condições, as propostas de microempresas e empresas de pequeno porte que se encontrarem na faixa de até 5% (cinco por cento) acima da melhor proposta ou melhor lance serão consideradas empatadas com a primeira colocada.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Só poderá haver empate entre propostas iguais (não seguidas de lances), ou entre lances finais da fase fechada do modo de disputa aberto e fechado. </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Havendo eventual empate entre propostas ou lances, o critério de desempate será aquele previsto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"art60"</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 60 da Lei nº 14.133, de 2021</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nesta ordem:</w:t>
      </w:r>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disputa final, hipótese em que os licitantes empatados poderão apresentar nova proposta em ato contínuo à classificação;</w:t>
      </w:r>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avaliação do desempenho contratual prévio dos licitantes, para a qual deverão preferencialmente ser utilizados registros cadastrais para efeito de atesto de cumprimento de obrigações previstos nesta Lei;</w:t>
      </w:r>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desenvolvimento pelo licitante de ações de equidade entre homens e mulheres no ambiente de trabalho, conforme regulamento;</w:t>
      </w:r>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desenvolvimento pelo licitante de programa de integridade, conforme orientações dos órgãos de controle.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Persistindo o empate, será assegurada preferência, sucessivamente, aos bens e serviços produzidos ou prestados por:</w:t>
      </w:r>
      <w:bookmarkStart w:id="28" w:name="bookmark=id.1pxezwc"/>
      <w:bookmarkEnd w:id="28"/>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29" w:name="bookmark=id.49x2ik5"/>
      <w:bookmarkEnd w:id="29"/>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empresas brasileiras;</w:t>
      </w:r>
      <w:bookmarkStart w:id="30" w:name="bookmark=id.2p2csry"/>
      <w:bookmarkEnd w:id="30"/>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empresas que invistam em pesquisa e no desenvolvimento de tecnologia no País;</w:t>
      </w:r>
      <w:bookmarkStart w:id="31" w:name="bookmark=id.147n2zr"/>
      <w:bookmarkEnd w:id="31"/>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empresas que comprovem a prática de mitigação, nos termos da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"https://www.planalto.gov.br/ccivil_03/_ato2007-2010/2009/lei/l12187.htm" \l ":~:text=LEI Nº 12.187%2C DE 29 DE DEZEMBRO DE 2009.&amp;text=Institui a Política Nacional sobre,PNMC e dá outras providências."</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12.187, de 29 de dezembro de 2009</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será admitida a previsão de preços diferentes em razão de local de entrega ou de acondicionamento, tamanho de lote ou qualquer outro motivo.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negociação será realizada por meio do sistema, podendo ser acompanhada pelos demais licitantes.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resultado da negociação será divulgado a todos os licitantes e anexado aos autos do processo licitatório.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É facultado ao pregoeiro prorrogar o prazo estabelecido, a partir de solicitação fundamentada feita no chat pelo licitante, antes de findo o prazo.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32" w:name="_heading=h.3o7alnk"/>
      <w:bookmarkEnd w:id="32"/>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Após a negociação do preço, o Pregoeiro iniciará a fase de aceitação e julgamento da proposta.</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33" w:name="_heading=h.23ckvvd"/>
      <w:bookmarkEnd w:id="33"/>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FASE DE JULGAMENTO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34" w:name="_heading=h.ihv636"/>
      <w:bookmarkEnd w:id="34"/>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Encerrada a etapa de negociação, o pregoeiro verificará se o licitante provisoriamente classificado em primeiro lugar atende às condições de participação no certame, conforme previsto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"art14"</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14 da Lei nº 14.133/2021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legislação correlata e no item 3.7. do edital, especialmente quanto à existência de sanção que impeça a participação no certame ou a futura contratação, mediante a consulta aos seguintes cadastros: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SICAF;  </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Cadastro Nacional de Empresas Inidôneas e Suspensas - CEIS, mantido pela Controladoria-Geral da União (</w:t>
      </w:r>
      <w:hyperlink r:id="rId13">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https://www.portaltransparencia.gov.br/sancoes/ceis</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 </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Cadastro Nacional de Empresas Punidas – CNEP, mantido pela Controladoria-Geral da União (</w:t>
      </w:r>
      <w:hyperlink r:id="rId14">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https://www.portaltransparencia.gov.br/sancoes/cnep</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consulta aos cadastros será realizada em nome da empresa licitante e também de seu sócio majoritário, por força da vedação de que trata 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"https://www.planalto.gov.br/ccivil_03/leis/l8429.htm" \l ":~:text=às seguintes cominações%3A-,Art.,nº 12.120%2C de 2009)."</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 12 da Lei n° 8.429, de 1992</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"https://www.gov.br/compras/pt-br/acesso-a-informacao/legislacao/instrucoes-normativas/instrucao-normativa-no-3-de-26-de-abril-de-2018" \l "art29"</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 xml:space="preserve">IN nº 3/2018, art. 29, </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caput</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tentativa de burla será verificada por meio dos vínculos societários, linhas de fornecimento similares, dentre outros. (</w:t>
      </w:r>
      <w:hyperlink r:id="rId15">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IN nº 3/2018, art. 29, §1º</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será convocado para manifestação previamente a uma eventual desclassificação. (</w:t>
      </w:r>
      <w:hyperlink r:id="rId16">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IN nº 3/2018, art. 29, §2º</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Constatada a existência de sanção, o licitante será reputado inabilitado, por falta de condição de participação.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35" w:name="_heading=h.32hioqz"/>
      <w:bookmarkEnd w:id="35"/>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hipótese de inversão das fases de habilitação e julgamento, caso atendidas as condições de participação, será iniciado o procedimento de habilitação.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o licitante provisoriamente classificado em primeiro lugar tenha se utilizado de algum tratamento favorecido às ME/EPPs, o pregoeiro verificará se faz jus ao benefício, em conformidade com os itens 3.5.1. e 4.5. deste edital.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"https://www.gov.br/compras/pt-br/acesso-a-informacao/legislacao/instrucoes-normativas/instrucao-normativa-seges-me-no-73-de-30-de-setembro-de-2022" \l "art29"</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 29 a 35 da IN SEGES nº 73, de 30 de setembro de 2022</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Será desclassificada a proposta vencedora que: </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contiver vícios insanáveis;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obedecer às especificações técnicas contidas no Termo de Referência;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apresentar preços inexequíveis ou permanecerem acima do preço máximo definido para a contratação;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tiverem sua exequibilidade demonstrada, quando exigido pela Administração;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apresentar desconformidade com quaisquer outras exigências deste Edital ou seus anexos, desde que insanável.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 caso de bens e serviços em geral, é indício de inexequibilidade das propostas valores inferiores a 50% (cinquenta por cento) do valor orçado pela Administração.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inexequibilidade, na hipótese de que trata o </w:t>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caput</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só será considerada após diligência do pregoeiro, que comprove:</w:t>
      </w:r>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que o custo do licitante ultrapassa o valor da proposta; e</w:t>
      </w:r>
    </w:p>
    <w:p>
      <w:pPr>
        <w:pStyle w:val="LOnormal"/>
        <w:keepNext w:val="false"/>
        <w:keepLines w:val="false"/>
        <w:pageBreakBefore w:val="false"/>
        <w:widowControl/>
        <w:numPr>
          <w:ilvl w:val="3"/>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inexistirem custos de oportunidade capazes de justificar o vulto da oferta.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 houver indícios de inexequibilidade da proposta de preço, ou em caso da necessidade de esclarecimentos complementares, poderão ser efetuadas diligências, para que a empresa comprove a exequibilidade da proposta.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36" w:name="_heading=h.1hmsyys"/>
      <w:bookmarkEnd w:id="36"/>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ajuste de que trata este dispositivo se limita a sanar erros ou falhas que não alterem a substância das propostas;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Considera-se erro no preenchimento da planilha passível de correção a indicação de recolhimento de impostos e contribuições na forma do Simples Nacional, quando não cabível esse regime.</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Para fins de análise da proposta quanto ao cumprimento das especificações do objeto, poderá ser colhida a manifestação escrita do setor requisitante do serviço ou da área especializada no objeto.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o Termo de Referência exija a apresentação de amostra, o licitante classificado em primeiro lugar deverá apresentá-la, conforme disciplinado no Termo de Referência, sob pena de não aceitação da proposta.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Por meio de mensagem no sistema, será divulgado o local e horário de realização do procedimento para a avaliação das amostras, cuja presença será facultada a todos os interessados, incluindo os demais licitantes.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resultados das avaliações serão divulgados por meio de mensagem no sistema.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 caso de não haver entrega da amostra ou ocorrer atraso na entrega, sem justificativa aceita pelo Pregoeiro, ou havendo entrega de amostra fora das especificações previstas neste Edital, a proposta do licitante será recusada.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i/>
          <w:caps w:val="false"/>
          <w:smallCaps w:val="false"/>
          <w:strike w:val="false"/>
          <w:dstrike w:val="false"/>
          <w:color w:val="000000"/>
          <w:position w:val="0"/>
          <w:sz w:val="20"/>
          <w:sz w:val="20"/>
          <w:szCs w:val="20"/>
          <w:u w:val="single"/>
          <w:shd w:fill="auto" w:val="clear"/>
          <w:vertAlign w:val="baseline"/>
        </w:rPr>
        <w:t>Para os itens enquadrados no Anexo I da Instrução Normativa IBAMA n° 13/2021 o Pregoeiro solicitará ao licitante provisoriamente classificado em primeiro lugar que apresente ou envie juntamente com a proposta, sob pena de não-aceitação, o Comprovante de Registro do fabricante do produto no Cadastro Técnico Federal de Atividades Potencialmente Poluidoras ou Utilizadoras de Recursos Ambientais, acompanhado do respectivo Certificado de Regularidade válido, nos termos do artigo 17, inciso II, da Lei n° 6.938, de 1981, e da Instrução Normativa IBAMA n° 13/2021 e normas supervenientes; 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b/>
          <w:i/>
          <w:i/>
          <w:caps w:val="false"/>
          <w:smallCaps w:val="false"/>
          <w:strike w:val="false"/>
          <w:dstrike w:val="false"/>
          <w:color w:val="000000"/>
          <w:position w:val="0"/>
          <w:sz w:val="24"/>
          <w:sz w:val="20"/>
          <w:szCs w:val="20"/>
          <w:u w:val="single"/>
          <w:vertAlign w:val="baseline"/>
        </w:rPr>
      </w:pPr>
      <w:r>
        <w:rPr>
          <w:rFonts w:eastAsia="Arial" w:cs="Arial" w:ascii="Arial" w:hAnsi="Arial"/>
          <w:b/>
          <w:i/>
          <w:caps w:val="false"/>
          <w:smallCaps w:val="false"/>
          <w:strike w:val="false"/>
          <w:dstrike w:val="false"/>
          <w:color w:val="000000"/>
          <w:position w:val="0"/>
          <w:sz w:val="20"/>
          <w:sz w:val="20"/>
          <w:szCs w:val="20"/>
          <w:u w:val="single"/>
          <w:shd w:fill="auto" w:val="clear"/>
          <w:vertAlign w:val="baseline"/>
        </w:rPr>
        <w:t>A apresentação do Certificado de Regularidade será dispensada, caso o Pregoeiro logre êxito em obtê-lo mediante consulta on line ao sítio oficial do IBAMA, anexando-o ao processo.</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0" w:right="0" w:hanging="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37" w:name="_heading=h.41mghml"/>
      <w:bookmarkEnd w:id="37"/>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FASE DE HABILITAÇÃO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"art62"</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arts. 62 a 70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38" w:name="_heading=h.2grqrue"/>
      <w:bookmarkEnd w:id="38"/>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documentação exigida para fins de habilitação jurídica, fiscal, social e trabalhista e econômico-ﬁnanceira, poderá ser substituída pelo registro cadastral no SICAF.</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Quando permitida a participação de empresas estrangeiras que não funcionem no País, as exigências de habilitação serão atendidas mediante documentos equivalentes, inicialmente apresentados em tradução livre.</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7">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Decreto nº 8.660, de 29 de janeiro de 2016</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ou de outro que venha a substituí-lo, ou consularizados pelos respectivos consulados ou embaixadas.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documentos exigidos para fins de habilitação poderão ser apresentados em original, por cópia ou por maneira eletrônica.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documentos exigidos para fins de habilitação poderão ser substituídos por registro cadastral emitido por órgão ou entidade pública, desde que o registro tenha sido feito em obediência ao disposto na Lei nº 14.133/2021.</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Será verificado se o licitante apresentou declaração de que atende aos requisitos de habilitação, e o declarante responderá pela veracidade das informações prestadas, na forma da lei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"art63"</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63, I, da Lei nº 14.133/2021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habilitação será verificada por meio do Sicaf, nos documentos por ele abrangidos.</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"https://www.gov.br/compras/pt-br/acesso-a-informacao/legislacao/instrucoes-normativas/instrucao-normativa-no-3-de-26-de-abril-de-2018" \l "art4"</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IN nº 3/2018, art. 4º, §1º, e art. 6º, §4º</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 xml:space="preserve">IN nº 3/2018, art. 7º, </w:t>
        </w:r>
      </w:hyperlink>
      <w:hyperlink r:id="rId19">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caput</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não observância do disposto no item anterior poderá ensejar desclassificação no momento da habilitação. (</w:t>
      </w:r>
      <w:hyperlink r:id="rId20">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IN nº 3/2018, art. 7º, parágrafo único</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verificação pelo pregoeiro, em sítios eletrônicos oficiais de órgãos e entidades emissores de certidões constitui meio legal de prova, para fins de habilitação.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39" w:name="_heading=h.vx1227"/>
      <w:bookmarkEnd w:id="39"/>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documentos exigidos para habilitação que não estejam contemplados no Sicaf serão enviados por meio do sistema, em formato digital, no prazo de 2 (duas) horas, prorrogável por igual período, contado da solicitação do pregoeiro.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 xml:space="preserve">§ 1º do art. 36 e no § 1º do art. 39 da </w:t>
        </w:r>
      </w:hyperlink>
      <w:hyperlink r:id="rId22">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Instrução Normativa SEGES nº 73, de 30 de setembro de 2022</w:t>
        </w:r>
      </w:hyperlink>
      <w:hyperlink r:id="rId23">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w:t>
        </w:r>
      </w:hyperlink>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verificação no Sicaf ou a exigência dos documentos nele não contidos somente será feita em relação ao licitante vencedor.</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documentos relativos à regularidade fiscal que constem do Termo de Referência somente serão exigidos, em qualquer caso, em momento posterior ao julgamento das propostas, e apenas do licitante mais bem classificado.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Após a entrega dos documentos para habilitação, não será permitida a substituição ou a apresentação de novos documentos, salvo em sede de diligência, para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HYPERLINK "http://www.planalto.gov.br/ccivil_03/_ato2019-2022/2021/lei/L14133.htm" \l "art64"</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14.133/21, art. 64</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 </w:t>
      </w:r>
      <w:hyperlink r:id="rId24">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IN 73/2022, art. 39, §4º</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complementação de informações acerca dos documentos já apresentados pelos licitantes e desde que necessária para apurar fatos existentes à época da abertura do certame; e</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atualização de documentos cuja validade tenha expirado após a data de recebimento das propostas;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0" w:name="_heading=h.3fwokq0"/>
      <w:bookmarkEnd w:id="40"/>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1" w:name="_heading=h.1v1yuxt"/>
      <w:bookmarkEnd w:id="41"/>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8.11.1..</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2" w:name="_heading=h.4f1mdlm"/>
      <w:bookmarkEnd w:id="42"/>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Somente serão disponibilizados para acesso público os documentos de habilitação do licitante cuja proposta atenda ao edital de licitação, após concluídos os procedimentos de que trata o subitem anterior.</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comprovação de regularidade fiscal e trabalhista das microempresas e das empresas de pequeno porte somente será exigida para efeito de contratação, e não como condição para participação na licitação (</w:t>
      </w:r>
      <w:r>
        <w:fldChar w:fldCharType="begin"/>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instrText> HYPERLINK "https://www.planalto.gov.br/ccivil_03/_ato2015-2018/2015/decreto/d8538.htm" \l "art4"</w:instrTex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separate"/>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art. 4º do Decreto nº 8.538/2015</w: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Quando a fase de habilitação anteceder a de julgamento e já tiver sido encerrada, não caberá exclusão de licitante por motivo relacionado à habilitação, salvo em razão de fatos supervenientes ou só conhecidos após o julgamento.</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0" w:right="0" w:hanging="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ATA DE REGISTRO DE PREÇOS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prazo de convocação poderá ser prorrogado uma vez, por igual período, mediante solicitação do licitante mais bem classificado ou do fornecedor convocado, desde que:</w:t>
      </w:r>
    </w:p>
    <w:p>
      <w:pPr>
        <w:pStyle w:val="LOnormal"/>
        <w:keepNext w:val="false"/>
        <w:keepLines w:val="false"/>
        <w:pageBreakBefore w:val="false"/>
        <w:widowControl/>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 solicitação seja devidamente justificada e apresentada dentro do prazo; e</w:t>
      </w:r>
    </w:p>
    <w:p>
      <w:pPr>
        <w:pStyle w:val="LOnormal"/>
        <w:keepNext w:val="false"/>
        <w:keepLines w:val="false"/>
        <w:pageBreakBefore w:val="false"/>
        <w:widowControl/>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(b) a justificativa apresentada seja aceita pela Administração.</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ata de registro de preços será assinada por meio de assinatura digital e disponibilizada no sistema de registro de preços.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preço registrado, com a indicação dos fornecedores, será divulgado no PNCP e disponibilizado durante a vigência da ata de registro de preços.</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Onormal"/>
        <w:keepNext w:val="true"/>
        <w:keepLines/>
        <w:pageBreakBefore w:val="false"/>
        <w:widowControl/>
        <w:numPr>
          <w:ilvl w:val="0"/>
          <w:numId w:val="3"/>
        </w:numPr>
        <w:shd w:val="clear" w:fill="auto"/>
        <w:tabs>
          <w:tab w:val="clear" w:pos="720"/>
          <w:tab w:val="left" w:pos="567" w:leader="none"/>
        </w:tabs>
        <w:spacing w:lineRule="auto" w:line="312" w:before="288" w:after="288"/>
        <w:ind w:left="0" w:right="0" w:hanging="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43" w:name="_heading=h.2u6wntf"/>
      <w:bookmarkEnd w:id="43"/>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FORMAÇÃO DO CADASTRO DE RESERVA</w:t>
      </w:r>
    </w:p>
    <w:p>
      <w:pPr>
        <w:pStyle w:val="LOnormal"/>
        <w:keepNext w:val="true"/>
        <w:keepLines/>
        <w:pageBreakBefore w:val="false"/>
        <w:widowControl/>
        <w:numPr>
          <w:ilvl w:val="1"/>
          <w:numId w:val="3"/>
        </w:numPr>
        <w:shd w:val="clear" w:fill="auto"/>
        <w:tabs>
          <w:tab w:val="clear" w:pos="720"/>
          <w:tab w:val="left" w:pos="567" w:leader="none"/>
        </w:tabs>
        <w:spacing w:lineRule="auto" w:line="312" w:before="288" w:after="288"/>
        <w:ind w:left="0" w:right="0" w:hanging="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Após a homologação da licitação, será incluído na ata, na forma de anexo, o registro:</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4" w:name="_heading=h.19c6y18"/>
      <w:bookmarkEnd w:id="44"/>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dos licitantes que aceitarem cotar o objeto com preço igual ao do adjudicatário, observada a classificação na licitação; e </w:t>
      </w:r>
    </w:p>
    <w:p>
      <w:pPr>
        <w:pStyle w:val="LOnormal"/>
        <w:keepNext w:val="false"/>
        <w:keepLines w:val="false"/>
        <w:pageBreakBefore w:val="false"/>
        <w:widowControl/>
        <w:numPr>
          <w:ilvl w:val="2"/>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dos licitantes que mantiverem sua proposta original</w:t>
      </w:r>
    </w:p>
    <w:p>
      <w:pPr>
        <w:pStyle w:val="LOnormal"/>
        <w:keepNext w:val="false"/>
        <w:keepLines w:val="false"/>
        <w:pageBreakBefore w:val="false"/>
        <w:widowControl/>
        <w:numPr>
          <w:ilvl w:val="1"/>
          <w:numId w:val="3"/>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Será respeitada, nas contratações, a ordem de classificação dos licitantes ou fornecedores registrados na ata.</w:t>
      </w:r>
    </w:p>
    <w:p>
      <w:pPr>
        <w:pStyle w:val="LOnormal"/>
        <w:keepNext w:val="false"/>
        <w:keepLines w:val="false"/>
        <w:pageBreakBefore w:val="false"/>
        <w:widowControl/>
        <w:numPr>
          <w:ilvl w:val="2"/>
          <w:numId w:val="1"/>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apresentação de novas propostas na forma deste item não prejudicará o resultado do certame em relação ao licitante mais bem classificado.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Para fins da ordem de classificação, os licitantes ou fornecedores que aceitarem cotar o objeto com preço igual ao do adjudicatário antecederão aqueles que mantiverem sua proposta original.</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habilitação dos licitantes que comporão o cadastro de reserva será efetuada quando houver necessidade de contratação dos licitantes remanescentes, nas seguintes hipóteses:</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quando o licitante vencedor não assinar a ata de registro de preços no prazo e nas condições estabelecidos no edital; ou</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quando houver o cancelamento do registro do fornecedor ou do registro de preços, nas hipóteses previstas nos art. 28 e art. 29 do Decreto nº 11.462/23.</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convocar os licitantes que mantiveram sua proposta original para negociação, na ordem de classificação, com vistas à obtenção de preço melhor, mesmo que acima do preço do adjudicatário; ou</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adjudicar e firmar o contrato nas condições ofertadas pelos licitantes remanescentes, observada a ordem de classificação, quando frustrada a negociação de melhor condição.</w:t>
      </w:r>
    </w:p>
    <w:p>
      <w:pPr>
        <w:pStyle w:val="LOnormal"/>
        <w:keepNext w:val="true"/>
        <w:keepLines/>
        <w:pageBreakBefore w:val="false"/>
        <w:widowControl/>
        <w:numPr>
          <w:ilvl w:val="0"/>
          <w:numId w:val="2"/>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45" w:name="_heading=h.3tbugp1"/>
      <w:bookmarkEnd w:id="45"/>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DOS RECURSOS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interposição de recurso referente ao julgamento das propostas, à habilitação ou inabilitação de licitantes, à anulação ou revogação da licitação, observará o disposto no </w:t>
      </w:r>
      <w:r>
        <w:fldChar w:fldCharType="begin"/>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instrText> HYPERLINK "http://www.planalto.gov.br/ccivil_03/_ato2019-2022/2021/lei/L14133.htm" \l "art165"</w:instrTex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separate"/>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art. 165 da Lei nº 14.133, de 2021</w: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prazo recursal é de 3 (três) dias úteis, contados da data de intimação ou de lavratura da ata.</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Quando o recurso apresentado impugnar o julgamento das propostas ou o ato de habilitação ou inabilitação do licitante:</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intenção de recorrer deverá ser manifestada imediatamente, sob pena de preclusão;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6" w:name="_heading=h.28h4qwu"/>
      <w:bookmarkEnd w:id="46"/>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prazo para a manifestação da intenção de recorrer não será inferior a 10 (dez) minutos.</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prazo para apresentação das razões recursais será iniciado na data de intimação ou de lavratura da ata de habilitação ou inabilitação;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hipótese de adoção da inversão de fases prevista no </w:t>
      </w:r>
      <w:r>
        <w:fldChar w:fldCharType="begin"/>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instrText> HYPERLINK "http://www.planalto.gov.br/ccivil_03/_ato2019-2022/2021/lei/L14133.htm" \l "art17§1"</w:instrTex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separate"/>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1º do art. 17 da Lei nº 14.133, de 2021</w: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o prazo para apresentação das razões recursais será iniciado na data de intimação da ata de julgamento.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recursos deverão ser encaminhados em campo próprio do sistema.</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Os recursos interpostos fora do prazo não serão conhecidos. </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recurso e o pedido de reconsideração terão efeito suspensivo do ato ou da decisão recorrida até que sobrevenha decisão final da autoridade competente. </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acolhimento do recurso invalida tão somente os atos insuscetíveis de aproveitamento. </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Os autos do processo permanecerão com vista franqueada aos interessados no sítio eletrônico </w:t>
      </w:r>
      <w:hyperlink r:id="rId25">
        <w:r>
          <w:rPr>
            <w:rFonts w:eastAsia="Arial" w:cs="Arial" w:ascii="Arial" w:hAnsi="Arial"/>
            <w:b w:val="false"/>
            <w:i w:val="false"/>
            <w:caps w:val="false"/>
            <w:smallCaps w:val="false"/>
            <w:strike w:val="false"/>
            <w:dstrike w:val="false"/>
            <w:color w:val="000000"/>
            <w:position w:val="0"/>
            <w:sz w:val="20"/>
            <w:sz w:val="20"/>
            <w:szCs w:val="20"/>
            <w:u w:val="single"/>
            <w:shd w:fill="auto" w:val="clear"/>
            <w:vertAlign w:val="baseline"/>
          </w:rPr>
          <w:t>www.5rm.eb.mil.br</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true"/>
        <w:keepLines/>
        <w:pageBreakBefore w:val="false"/>
        <w:widowControl/>
        <w:numPr>
          <w:ilvl w:val="0"/>
          <w:numId w:val="2"/>
        </w:numPr>
        <w:shd w:val="clear" w:fill="auto"/>
        <w:tabs>
          <w:tab w:val="clear" w:pos="720"/>
          <w:tab w:val="left" w:pos="567" w:leader="none"/>
        </w:tabs>
        <w:spacing w:lineRule="auto" w:line="312" w:before="288" w:after="288"/>
        <w:ind w:left="0" w:right="0" w:hanging="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DAS INFRAÇÕES ADMINISTRATIVAS E SANÇÕES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Comete infração administrativa, nos termos da lei, o licitante que, com dolo ou culpa: </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7" w:name="_heading=h.nmf14n"/>
      <w:bookmarkEnd w:id="47"/>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deixar de entregar a documentação exigida para o certame ou não entregar qualquer documento que tenha sido solicitado pelo/a pregoeiro/a durante o certame;</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8" w:name="_heading=h.37m2jsg"/>
      <w:bookmarkEnd w:id="48"/>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Salvo em decorrência de fato superveniente devidamente justificado, não mantiver a proposta em especial quando:</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não enviar a proposta adequada ao último lance ofertado ou após a negociação; </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recusar-se a enviar o detalhamento da proposta quando exigível; </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pedir para ser desclassificado quando encerrada a etapa competitiva; ou </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deixar de apresentar amostra;</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apresentar proposta ou amostra em desacordo com as especificações do edital; </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49" w:name="_heading=h.1mrcu09"/>
      <w:bookmarkEnd w:id="49"/>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celebrar o contrato ou não entregar a documentação exigida para a contratação, quando convocado dentro do prazo de validade de sua proposta;</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recusar-se, sem justificativa, a assinar o contrato ou a ata de registro de preço, ou a aceitar ou retirar o instrumento equivalente no prazo estabelecido pela Administração;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50" w:name="_heading=h.46r0co2"/>
      <w:bookmarkEnd w:id="50"/>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apresentar declaração ou documentação falsa exigida para o certame ou prestar declaração falsa durante a licitação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51" w:name="_heading=h.2lwamvv"/>
      <w:bookmarkEnd w:id="51"/>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fraudar a licitação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52" w:name="_heading=h.111kx3o"/>
      <w:bookmarkEnd w:id="52"/>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comportar-se de modo inidôneo ou cometer fraude de qualquer natureza, em especial quando:</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agir em conluio ou em desconformidade com a lei; </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induzir deliberadamente a erro no julgamento; </w:t>
      </w:r>
    </w:p>
    <w:p>
      <w:pPr>
        <w:pStyle w:val="LOnormal"/>
        <w:keepNext w:val="false"/>
        <w:keepLines w:val="false"/>
        <w:pageBreakBefore w:val="false"/>
        <w:widowControl/>
        <w:numPr>
          <w:ilvl w:val="3"/>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apresentar amostra falsificada ou deteriorada; </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53" w:name="_heading=h.3l18frh"/>
      <w:bookmarkEnd w:id="53"/>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praticar atos ilícitos com vistas a frustrar os objetivos da licitação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54" w:name="_heading=h.206ipza"/>
      <w:bookmarkEnd w:id="54"/>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praticar ato lesivo previsto no </w:t>
      </w:r>
      <w:r>
        <w:fldChar w:fldCharType="begin"/>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instrText> HYPERLINK "https://www.planalto.gov.br/ccivil_03/_ato2011-2014/2013/lei/l12846.htm" \l "art5"</w:instrTex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separate"/>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art. 5º da Lei n.º 12.846, de 2013</w: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Com fulcro na </w:t>
      </w:r>
      <w:hyperlink r:id="rId26">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14.133, de 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a Administração poderá, garantida a prévia defesa, aplicar aos licitantes e/ou adjudicatários as seguintes sanções, sem prejuízo das responsabilidades civil e criminal: </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advertência; </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multa;</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impedimento de licitar e contratar e</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declaração de inidoneidade para licitar ou contratar, enquanto perdurarem os motivos determinantes da punição ou até que seja promovida sua reabilitação perante a própria autoridade que aplicou a penalidade.</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aplicação das sanções serão considerados:</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natureza e a gravidade da infração cometida.</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as peculiaridades do caso concreto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as circunstâncias agravantes ou atenuantes</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danos que dela provierem para a Administração Pública</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implantação ou o aperfeiçoamento de programa de integridade, conforme normas e orientações dos órgãos de controle.</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multa será recolhida em percentual de 0,5% a 30% incidente sobre o valor do contrato licitado, recolhida no prazo máximo de 30 (trinta) dias úteis, a contar da comunicação oficial. </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bookmarkStart w:id="55" w:name="_heading=h.4k668n3"/>
      <w:bookmarkEnd w:id="55"/>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Para as infrações previstas nos itens 12.1.1., 12.1.2. e 12.1.3., a multa será de 0,5% a 15%</w:t>
      </w:r>
      <w:r>
        <w:rPr>
          <w:rFonts w:eastAsia="Arial" w:cs="Arial" w:ascii="Arial" w:hAnsi="Arial"/>
          <w:b w:val="false"/>
          <w:i w:val="false"/>
          <w:caps w:val="false"/>
          <w:smallCaps w:val="false"/>
          <w:strike w:val="false"/>
          <w:dstrike w:val="false"/>
          <w:color w:val="0000FF"/>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do valor do contrato licitado.</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Para as infrações previstas nos itens 12.1.4., 12.1.5., 12.1.6., 12.1.7. e 12.1.8., a multa será de 15% a 30%</w:t>
      </w:r>
      <w:r>
        <w:rPr>
          <w:rFonts w:eastAsia="Arial" w:cs="Arial" w:ascii="Arial" w:hAnsi="Arial"/>
          <w:b w:val="false"/>
          <w:i w:val="false"/>
          <w:caps w:val="false"/>
          <w:smallCaps w:val="false"/>
          <w:strike w:val="false"/>
          <w:dstrike w:val="false"/>
          <w:color w:val="0000FF"/>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do valor do contrato licitado.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As sanções de advertência, impedimento de licitar e contratar e declaração de inidoneidade para licitar ou contratar poderão ser aplicadas, cumulativamente ou não, à penalidade de multa.</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aplicação da sanção de multa será facultada a defesa do interessado no prazo de 15 (quinze) dias úteis, contado da data de sua intimação.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r>
        <w:fldChar w:fldCharType="begin"/>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instrText> HYPERLINK "http://www.planalto.gov.br/ccivil_03/_ato2019-2022/2021/lei/L14133.htm" \l "art156§5"</w:instrTex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separate"/>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art. 156, §5º, da Lei n.º 14.133/2021</w:t>
      </w:r>
      <w:r>
        <w:rPr>
          <w:smallCaps w:val="false"/>
          <w:caps w:val="false"/>
          <w:dstrike w:val="false"/>
          <w:strike w:val="false"/>
          <w:vertAlign w:val="baseline"/>
          <w:position w:val="0"/>
          <w:sz w:val="20"/>
          <w:sz w:val="20"/>
          <w:i w:val="false"/>
          <w:u w:val="none"/>
          <w:b w:val="false"/>
          <w:shd w:fill="auto" w:val="clear"/>
          <w:szCs w:val="20"/>
          <w:rFonts w:eastAsia="Arial" w:cs="Arial" w:ascii="Arial" w:hAnsi="Arial"/>
          <w:color w:val="000000"/>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27">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art. 45, §4º da IN SEGES/ME n.º 73, de 2022</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recurso e o pedido de reconsideração terão efeito suspensivo do ato ou da decisão recorrida até que sobrevenha decisão final da autoridade competente.</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aplicação das sanções previstas neste edital não exclui, em hipótese alguma, a obrigação de reparação integral dos danos causados.</w:t>
      </w:r>
    </w:p>
    <w:p>
      <w:pPr>
        <w:pStyle w:val="LOnormal"/>
        <w:keepNext w:val="true"/>
        <w:keepLines/>
        <w:pageBreakBefore w:val="false"/>
        <w:widowControl/>
        <w:numPr>
          <w:ilvl w:val="0"/>
          <w:numId w:val="2"/>
        </w:numPr>
        <w:shd w:val="clear" w:fill="auto"/>
        <w:tabs>
          <w:tab w:val="clear" w:pos="720"/>
          <w:tab w:val="left" w:pos="567" w:leader="none"/>
        </w:tabs>
        <w:spacing w:lineRule="auto" w:line="312" w:before="288" w:after="288"/>
        <w:ind w:left="0" w:right="0" w:hanging="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56" w:name="_heading=h.2zbgiuw"/>
      <w:bookmarkEnd w:id="56"/>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 IMPUGNAÇÃO AO EDITAL E DO PEDIDO DE ESCLARECIMENTO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Qualquer pessoa é parte legítima para impugnar este Edital por irregularidade na aplicação da </w:t>
      </w:r>
      <w:hyperlink r:id="rId28">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Lei nº 14.133, de 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devendo protocolar o pedido até 3 (três) dias úteis antes da data da abertura do certame.</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resposta à impugnação ou ao pedido de esclarecimento será divulgado em sítio eletrônico oficial no prazo de até 3 (três) dias úteis, limitado ao último dia útil anterior à data da abertura do certame.</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impugnação e o pedido de esclarecimento poderão ser realizados por forma eletrônica, pelo e-mail </w:t>
      </w:r>
      <w:r>
        <w:rPr>
          <w:rFonts w:eastAsia="Arial" w:cs="Arial" w:ascii="Arial" w:hAnsi="Arial"/>
          <w:b/>
          <w:color w:val="000000"/>
          <w:sz w:val="20"/>
          <w:szCs w:val="20"/>
          <w:u w:val="none"/>
        </w:rPr>
        <w:t>pregoeiro1@pqrmnt5.eb.mil.br</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ou por petição dirigida ou protocolada no endereço Avenida Francisco Manoel Albizu, nº 320, Bacacheri - Curitiba/PR, Seção de Aquisições, Licitações e Contratos.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As impugnações e pedidos de esclarecimentos não suspendem os prazos previstos no certame.</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concessão de efeito suspensivo à impugnação é medida excepcional e deverá ser motivada pelo agente de contratação, nos autos do processo de licitação.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Acolhida a impugnação, será definida e publicada nova data para a realização do certame.</w:t>
      </w:r>
    </w:p>
    <w:p>
      <w:pPr>
        <w:pStyle w:val="LOnormal"/>
        <w:keepNext w:val="true"/>
        <w:keepLines/>
        <w:pageBreakBefore w:val="false"/>
        <w:widowControl/>
        <w:numPr>
          <w:ilvl w:val="0"/>
          <w:numId w:val="2"/>
        </w:numPr>
        <w:shd w:val="clear" w:fill="auto"/>
        <w:tabs>
          <w:tab w:val="clear" w:pos="720"/>
          <w:tab w:val="left" w:pos="567" w:leader="none"/>
        </w:tabs>
        <w:spacing w:lineRule="auto" w:line="312" w:before="288" w:after="288"/>
        <w:ind w:left="360" w:right="0" w:hanging="360"/>
        <w:jc w:val="both"/>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bookmarkStart w:id="57" w:name="_heading=h.1egqt2p"/>
      <w:bookmarkEnd w:id="57"/>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DAS DISPOSIÇÕES GERAIS</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Será divulgada ata da sessão pública no sistema eletrônico.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Todas as referências de tempo no Edital, no aviso e durante a sessão pública observarão o horário de Brasília - DF.</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homologação do resultado desta licitação não implicará direito à contratação.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Os licitantes assumem todos os custos de preparação e apresentação de suas propostas e a Administração não será, em nenhum caso, responsável por esses custos, independentemente da condução ou do resultado do processo licitatório.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contagem dos prazos estabelecidos neste Edital e seus Anexos, excluir-se-á o dia do início e incluir-se-á o do vencimento. Só se iniciam e vencem os prazos em dias de expediente na Administração.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desatendimento de exigências formais não essenciais não importará o afastamento do licitante, desde que seja possível o aproveitamento do ato, observados os princípios da isonomia e do interesse público.</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Em caso de divergência entre disposições deste Edital e de seus anexos ou demais peças que compõem o processo, prevalecerá as deste Edital.</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Edital e seus anexos estão disponíveis, na íntegra, no Portal Nacional de Contratações Públicas (PNCP) e também poderão ser lidos e/ou obtidos no endereço do Parque Regional de Manutenção/5, Seção de Aquisições Licitações e Contratos, sediado na Av. Francisco Manoel Albizu, nº 320, Bacacheri - Curitiba/PR, nos dias úteis nos seguintes horários: de segunda à quinta-feira de 08:00h às 17:00h, e nas sextas-feiras de 08:00h às 12:00h.</w:t>
      </w:r>
    </w:p>
    <w:p>
      <w:pPr>
        <w:pStyle w:val="LOnormal"/>
        <w:keepNext w:val="false"/>
        <w:keepLines w:val="false"/>
        <w:pageBreakBefore w:val="false"/>
        <w:widowControl/>
        <w:numPr>
          <w:ilvl w:val="1"/>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Integram este Edital, para todos os fins e efeitos, os seguintes anexos:</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ANEXO I - Termo de Referência</w:t>
      </w:r>
    </w:p>
    <w:p>
      <w:pPr>
        <w:pStyle w:val="LOnormal"/>
        <w:keepNext w:val="false"/>
        <w:keepLines w:val="false"/>
        <w:pageBreakBefore w:val="false"/>
        <w:widowControl/>
        <w:numPr>
          <w:ilvl w:val="2"/>
          <w:numId w:val="2"/>
        </w:numP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ANEXO II – Minuta de Ata de Registro de Preços</w:t>
      </w:r>
    </w:p>
    <w:p>
      <w:pPr>
        <w:pStyle w:val="LOnormal"/>
        <w:rPr>
          <w:highlight w:val="cyan"/>
        </w:rPr>
      </w:pPr>
      <w:r>
        <w:rPr>
          <w:highlight w:val="cyan"/>
        </w:rPr>
      </w:r>
    </w:p>
    <w:p>
      <w:pPr>
        <w:pStyle w:val="LOnormal"/>
        <w:keepNext w:val="false"/>
        <w:keepLines w:val="false"/>
        <w:pageBreakBefore w:val="false"/>
        <w:widowControl/>
        <w:shd w:val="clear" w:fill="auto"/>
        <w:spacing w:lineRule="auto" w:line="276" w:before="120" w:after="120"/>
        <w:ind w:left="4969" w:right="0" w:hanging="0"/>
        <w:jc w:val="both"/>
        <w:rPr>
          <w:rFonts w:ascii="Arial" w:hAnsi="Arial" w:eastAsia="Arial" w:cs="Arial"/>
          <w:sz w:val="20"/>
          <w:szCs w:val="20"/>
        </w:rPr>
      </w:pPr>
      <w:r>
        <w:rPr>
          <w:rFonts w:eastAsia="Arial" w:cs="Arial" w:ascii="Arial" w:hAnsi="Arial"/>
          <w:sz w:val="20"/>
          <w:szCs w:val="20"/>
        </w:rPr>
      </w:r>
    </w:p>
    <w:p>
      <w:pPr>
        <w:pStyle w:val="LOnormal"/>
        <w:keepNext w:val="false"/>
        <w:keepLines w:val="false"/>
        <w:pageBreakBefore w:val="false"/>
        <w:widowControl/>
        <w:shd w:val="clear" w:fill="auto"/>
        <w:spacing w:lineRule="auto" w:line="276" w:before="120" w:after="120"/>
        <w:ind w:left="4969" w:right="0" w:hanging="0"/>
        <w:jc w:val="both"/>
        <w:rPr>
          <w:rFonts w:ascii="Arial" w:hAnsi="Arial" w:eastAsia="Arial" w:cs="Arial"/>
          <w:sz w:val="20"/>
          <w:szCs w:val="20"/>
        </w:rPr>
      </w:pPr>
      <w:r>
        <w:rPr>
          <w:rFonts w:eastAsia="Arial" w:cs="Arial" w:ascii="Arial" w:hAnsi="Arial"/>
          <w:sz w:val="20"/>
          <w:szCs w:val="20"/>
        </w:rPr>
      </w:r>
    </w:p>
    <w:p>
      <w:pPr>
        <w:pStyle w:val="LOnormal"/>
        <w:keepNext w:val="false"/>
        <w:keepLines w:val="false"/>
        <w:pageBreakBefore w:val="false"/>
        <w:widowControl/>
        <w:shd w:val="clear" w:fill="auto"/>
        <w:spacing w:lineRule="auto" w:line="276" w:before="120" w:after="120"/>
        <w:ind w:left="4969" w:right="0" w:hanging="0"/>
        <w:jc w:val="both"/>
        <w:rPr>
          <w:rFonts w:ascii="Arial" w:hAnsi="Arial" w:eastAsia="Arial" w:cs="Arial"/>
          <w:sz w:val="20"/>
          <w:szCs w:val="20"/>
        </w:rPr>
      </w:pPr>
      <w:r>
        <w:rPr>
          <w:rFonts w:eastAsia="Arial" w:cs="Arial" w:ascii="Arial" w:hAnsi="Arial"/>
          <w:sz w:val="20"/>
          <w:szCs w:val="20"/>
        </w:rPr>
      </w:r>
    </w:p>
    <w:p>
      <w:pPr>
        <w:pStyle w:val="LOnormal"/>
        <w:widowControl/>
        <w:spacing w:lineRule="auto" w:line="312" w:before="288" w:after="288"/>
        <w:ind w:left="0" w:right="0" w:hanging="0"/>
        <w:jc w:val="center"/>
        <w:rPr>
          <w:rFonts w:ascii="Arial" w:hAnsi="Arial" w:eastAsia="Arial" w:cs="Arial"/>
          <w:color w:val="000000"/>
          <w:sz w:val="20"/>
          <w:szCs w:val="20"/>
        </w:rPr>
      </w:pPr>
      <w:r>
        <w:rPr>
          <w:rFonts w:eastAsia="Arial" w:cs="Arial" w:ascii="Arial" w:hAnsi="Arial"/>
          <w:color w:val="000000"/>
          <w:sz w:val="20"/>
          <w:szCs w:val="20"/>
        </w:rPr>
        <w:t>Curitiba, PR, 15 de Junho de 2023.</w:t>
      </w:r>
    </w:p>
    <w:p>
      <w:pPr>
        <w:pStyle w:val="LOnormal"/>
        <w:spacing w:lineRule="auto" w:line="312" w:before="288" w:after="288"/>
        <w:ind w:firstLine="567"/>
        <w:jc w:val="center"/>
        <w:rPr>
          <w:rFonts w:ascii="Arial" w:hAnsi="Arial" w:eastAsia="Arial" w:cs="Arial"/>
          <w:color w:val="000000"/>
          <w:sz w:val="20"/>
          <w:szCs w:val="20"/>
        </w:rPr>
      </w:pPr>
      <w:r>
        <w:rPr>
          <w:rFonts w:eastAsia="Arial" w:cs="Arial" w:ascii="Arial" w:hAnsi="Arial"/>
          <w:color w:val="000000"/>
          <w:sz w:val="20"/>
          <w:szCs w:val="20"/>
        </w:rPr>
      </w:r>
    </w:p>
    <w:p>
      <w:pPr>
        <w:pStyle w:val="LOnormal"/>
        <w:spacing w:lineRule="auto" w:line="312" w:before="0" w:after="0"/>
        <w:ind w:left="0" w:right="0" w:hanging="0"/>
        <w:jc w:val="center"/>
        <w:rPr>
          <w:rFonts w:ascii="Arial" w:hAnsi="Arial" w:eastAsia="Arial" w:cs="Arial"/>
          <w:b/>
          <w:b/>
          <w:color w:val="000000"/>
          <w:sz w:val="20"/>
          <w:szCs w:val="20"/>
        </w:rPr>
      </w:pPr>
      <w:r>
        <w:rPr>
          <w:rFonts w:eastAsia="Arial" w:cs="Arial" w:ascii="Arial" w:hAnsi="Arial"/>
          <w:b/>
          <w:color w:val="000000"/>
          <w:sz w:val="20"/>
          <w:szCs w:val="20"/>
        </w:rPr>
        <w:t>MARCELO VANNI – Ten Cel</w:t>
      </w:r>
    </w:p>
    <w:p>
      <w:pPr>
        <w:pStyle w:val="LOnormal"/>
        <w:spacing w:lineRule="auto" w:line="312" w:before="0" w:after="0"/>
        <w:ind w:left="0" w:right="0" w:hanging="0"/>
        <w:jc w:val="center"/>
        <w:rPr>
          <w:rFonts w:ascii="Arial" w:hAnsi="Arial" w:eastAsia="Arial" w:cs="Arial"/>
          <w:color w:val="000000"/>
          <w:sz w:val="20"/>
          <w:szCs w:val="20"/>
        </w:rPr>
      </w:pPr>
      <w:r>
        <w:rPr>
          <w:rFonts w:eastAsia="Arial" w:cs="Arial" w:ascii="Arial" w:hAnsi="Arial"/>
          <w:color w:val="000000"/>
          <w:sz w:val="20"/>
          <w:szCs w:val="20"/>
        </w:rPr>
        <w:t>Ordenador de Despesas do Parque Regional de Manutenção/5</w:t>
      </w:r>
    </w:p>
    <w:p>
      <w:pPr>
        <w:pStyle w:val="LOnormal"/>
        <w:spacing w:lineRule="auto" w:line="312" w:before="288" w:after="288"/>
        <w:ind w:firstLine="567"/>
        <w:jc w:val="center"/>
        <w:rPr>
          <w:rFonts w:ascii="Arial" w:hAnsi="Arial" w:eastAsia="Arial" w:cs="Arial"/>
        </w:rPr>
      </w:pPr>
      <w:r>
        <w:rPr/>
      </w:r>
    </w:p>
    <w:sectPr>
      <w:headerReference w:type="default" r:id="rId29"/>
      <w:headerReference w:type="first" r:id="rId30"/>
      <w:footerReference w:type="default" r:id="rId31"/>
      <w:type w:val="nextPage"/>
      <w:pgSz w:w="11906" w:h="16838"/>
      <w:pgMar w:left="1134" w:right="1134" w:header="709" w:top="1418" w:footer="709" w:bottom="1418"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Ecofont_Spranq_eco_Sans">
    <w:charset w:val="01"/>
    <w:family w:val="roman"/>
    <w:pitch w:val="variable"/>
  </w:font>
  <w:font w:name="Calibri">
    <w:charset w:val="01"/>
    <w:family w:val="swiss"/>
    <w:pitch w:val="variable"/>
  </w:font>
  <w:font w:name="Times New Roman">
    <w:charset w:val="01"/>
    <w:family w:val="swiss"/>
    <w:pitch w:val="variable"/>
  </w:font>
  <w:font w:name="Tahoma">
    <w:charset w:val="01"/>
    <w:family w:val="roman"/>
    <w:pitch w:val="variable"/>
  </w:font>
  <w:font w:name="Arial">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 w:name="Arial">
    <w:charset w:val="01"/>
    <w:family w:val="swiss"/>
    <w:pitch w:val="variable"/>
  </w:font>
  <w:font w:name="Georgia">
    <w:charset w:val="01"/>
    <w:family w:val="roman"/>
    <w:pitch w:val="variable"/>
  </w:font>
  <w:font w:name="Cambria">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Ecofont_Spranq_eco_Sans" w:hAnsi="Ecofont_Spranq_eco_Sans" w:eastAsia="Ecofont_Spranq_eco_Sans" w:cs="Ecofont_Spranq_eco_Sans"/>
        <w:b w:val="false"/>
        <w:b w:val="false"/>
        <w:i w:val="false"/>
        <w:i w:val="false"/>
        <w:caps w:val="false"/>
        <w:smallCaps w:val="false"/>
        <w:strike w:val="false"/>
        <w:dstrike w:val="false"/>
        <w:color w:val="548DD4"/>
        <w:position w:val="0"/>
        <w:sz w:val="24"/>
        <w:sz w:val="16"/>
        <w:szCs w:val="16"/>
        <w:u w:val="none"/>
        <w:vertAlign w:val="baseline"/>
      </w:rPr>
    </w:pPr>
    <w:r>
      <w:rPr>
        <w:rFonts w:eastAsia="Ecofont_Spranq_eco_Sans" w:cs="Ecofont_Spranq_eco_Sans"/>
        <w:b w:val="false"/>
        <w:i w:val="false"/>
        <w:caps w:val="false"/>
        <w:smallCaps w:val="false"/>
        <w:strike w:val="false"/>
        <w:dstrike w:val="false"/>
        <w:color w:val="548DD4"/>
        <w:position w:val="0"/>
        <w:sz w:val="22"/>
        <w:sz w:val="22"/>
        <w:szCs w:val="22"/>
        <w:u w:val="none"/>
        <w:shd w:fill="auto" w:val="clear"/>
        <w:vertAlign w:val="baseline"/>
      </w:rPr>
      <w:tab/>
      <w:tab/>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7F7F7F"/>
        <w:position w:val="0"/>
        <w:sz w:val="24"/>
        <w:sz w:val="18"/>
        <w:szCs w:val="18"/>
        <w:u w:val="none"/>
        <w:vertAlign w:val="baseline"/>
      </w:rPr>
    </w:pPr>
    <w:r>
      <w:rPr>
        <w:rFonts w:eastAsia="Ecofont_Spranq_eco_Sans" w:cs="Ecofont_Spranq_eco_Sans"/>
        <w:b w:val="false"/>
        <w:i w:val="false"/>
        <w:caps w:val="false"/>
        <w:smallCaps w:val="false"/>
        <w:strike w:val="false"/>
        <w:dstrike w:val="false"/>
        <w:color w:val="7F7F7F"/>
        <w:position w:val="0"/>
        <w:sz w:val="22"/>
        <w:sz w:val="22"/>
        <w:szCs w:val="22"/>
        <w:u w:val="none"/>
        <w:shd w:fill="auto" w:val="clear"/>
        <w:vertAlign w:val="baseline"/>
      </w:rPr>
      <w:tab/>
      <w:tab/>
    </w:r>
    <w:r>
      <w:rPr>
        <w:rFonts w:eastAsia="Arial" w:cs="Arial" w:ascii="Arial" w:hAnsi="Arial"/>
        <w:b w:val="false"/>
        <w:i w:val="false"/>
        <w:caps w:val="false"/>
        <w:smallCaps w:val="false"/>
        <w:strike w:val="false"/>
        <w:dstrike w:val="false"/>
        <w:color w:val="595959"/>
        <w:position w:val="0"/>
        <w:sz w:val="18"/>
        <w:sz w:val="18"/>
        <w:szCs w:val="18"/>
        <w:u w:val="none"/>
        <w:shd w:fill="auto" w:val="clear"/>
        <w:vertAlign w:val="baseline"/>
      </w:rPr>
      <w:t xml:space="preserve">Página </w:t>
    </w:r>
    <w:r>
      <w:rPr/>
      <w:fldChar w:fldCharType="begin"/>
    </w:r>
    <w:r>
      <w:rPr/>
      <w:instrText> PAGE </w:instrText>
    </w:r>
    <w:r>
      <w:rPr/>
      <w:fldChar w:fldCharType="separate"/>
    </w:r>
    <w:r>
      <w:rPr/>
      <w:t>20</w:t>
    </w:r>
    <w:r>
      <w:rPr/>
      <w:fldChar w:fldCharType="end"/>
    </w:r>
    <w:r>
      <w:rPr>
        <w:rFonts w:eastAsia="Arial" w:cs="Arial" w:ascii="Arial" w:hAnsi="Arial"/>
        <w:b w:val="false"/>
        <w:i w:val="false"/>
        <w:caps w:val="false"/>
        <w:smallCaps w:val="false"/>
        <w:strike w:val="false"/>
        <w:dstrike w:val="false"/>
        <w:color w:val="595959"/>
        <w:position w:val="0"/>
        <w:sz w:val="18"/>
        <w:sz w:val="18"/>
        <w:szCs w:val="18"/>
        <w:u w:val="none"/>
        <w:shd w:fill="auto" w:val="clear"/>
        <w:vertAlign w:val="baseline"/>
      </w:rPr>
      <w:t xml:space="preserve"> | </w:t>
    </w:r>
    <w:r>
      <w:rPr/>
      <w:fldChar w:fldCharType="begin"/>
    </w:r>
    <w:r>
      <w:rPr/>
      <w:instrText> NUMPAGES </w:instrText>
    </w:r>
    <w:r>
      <w:rPr/>
      <w:fldChar w:fldCharType="separate"/>
    </w:r>
    <w:r>
      <w:rPr/>
      <w:t>20</w:t>
    </w:r>
    <w:r>
      <w:rPr/>
      <w:fldChar w:fldCharType="end"/>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4"/>
        <w:szCs w:val="14"/>
        <w:u w:val="none"/>
        <w:vertAlign w:val="baseline"/>
      </w:rPr>
    </w:pPr>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Câmara Nacional de Modelos de Licitações e Contratos da Consultoria-Geral da União</w:t>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4"/>
        <w:szCs w:val="14"/>
        <w:u w:val="none"/>
        <w:vertAlign w:val="baseline"/>
      </w:rPr>
    </w:pPr>
    <w:bookmarkStart w:id="58" w:name="_heading=h.3ygebqi"/>
    <w:bookmarkEnd w:id="58"/>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Atualização: maio/2023</w:t>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4"/>
        <w:szCs w:val="14"/>
        <w:u w:val="none"/>
        <w:vertAlign w:val="baseline"/>
      </w:rPr>
    </w:pPr>
    <w:bookmarkStart w:id="59" w:name="_heading=h.2dlolyb"/>
    <w:bookmarkEnd w:id="59"/>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Edital modelo para Pregão Eletrônico - Lei nº 14.133, de 2021.</w:t>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4"/>
        <w:szCs w:val="14"/>
        <w:u w:val="none"/>
        <w:vertAlign w:val="baseline"/>
      </w:rPr>
    </w:pPr>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Aprovado pela Secretaria de Gestão e Inovação.</w:t>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4"/>
        <w:szCs w:val="14"/>
        <w:u w:val="none"/>
        <w:vertAlign w:val="baseline"/>
      </w:rPr>
    </w:pPr>
    <w:bookmarkStart w:id="60" w:name="_heading=h.sqyw64"/>
    <w:bookmarkEnd w:id="60"/>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Identidade visual pela Secretaria de Gestão e Inovação</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right"/>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EDITAL - PREGÃO ELETRÔNICO Nº 02/2023</w:t>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right"/>
      <w:rPr>
        <w:rFonts w:ascii="Ecofont_Spranq_eco_Sans" w:hAnsi="Ecofont_Spranq_eco_Sans" w:eastAsia="Ecofont_Spranq_eco_Sans" w:cs="Ecofont_Spranq_eco_Sans"/>
        <w:b w:val="false"/>
        <w:b w:val="false"/>
        <w:i w:val="false"/>
        <w:i w:val="false"/>
        <w:caps w:val="false"/>
        <w:smallCaps w:val="false"/>
        <w:strike w:val="false"/>
        <w:dstrike w:val="false"/>
        <w:color w:val="000000"/>
        <w:position w:val="0"/>
        <w:sz w:val="24"/>
        <w:sz w:val="24"/>
        <w:szCs w:val="24"/>
        <w:u w:val="none"/>
        <w:vertAlign w:val="baseline"/>
      </w:rPr>
    </w:pPr>
    <w:r>
      <w:rPr>
        <w:rFonts w:eastAsia="Ecofont_Spranq_eco_Sans" w:cs="Ecofont_Spranq_eco_Sans"/>
        <w:b w:val="false"/>
        <w:i w:val="false"/>
        <w:caps w:val="false"/>
        <w:smallCaps w:val="false"/>
        <w:strike w:val="false"/>
        <w:dstrike w:val="false"/>
        <w:color w:val="000000"/>
        <w:position w:val="0"/>
        <w:sz w:val="24"/>
        <w:sz w:val="24"/>
        <w:szCs w:val="24"/>
        <w:u w:val="none"/>
        <w:vertAlign w:val="baseline"/>
      </w:rPr>
    </w:r>
  </w:p>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right"/>
      <w:rPr>
        <w:rFonts w:ascii="Ecofont_Spranq_eco_Sans" w:hAnsi="Ecofont_Spranq_eco_Sans" w:eastAsia="Ecofont_Spranq_eco_Sans" w:cs="Ecofont_Spranq_eco_Sans"/>
        <w:b w:val="false"/>
        <w:b w:val="false"/>
        <w:i w:val="false"/>
        <w:i w:val="false"/>
        <w:caps w:val="false"/>
        <w:smallCaps w:val="false"/>
        <w:strike w:val="false"/>
        <w:dstrike w:val="false"/>
        <w:color w:val="000000"/>
        <w:position w:val="0"/>
        <w:sz w:val="24"/>
        <w:sz w:val="24"/>
        <w:szCs w:val="24"/>
        <w:u w:val="none"/>
        <w:vertAlign w:val="baseline"/>
      </w:rPr>
    </w:pPr>
    <w:r>
      <w:rPr>
        <w:rFonts w:eastAsia="Ecofont_Spranq_eco_Sans" w:cs="Ecofont_Spranq_eco_Sans"/>
        <w:b w:val="false"/>
        <w:i w:val="false"/>
        <w:caps w:val="false"/>
        <w:smallCaps w:val="false"/>
        <w:strike w:val="false"/>
        <w:dstrike w:val="false"/>
        <w:color w:val="000000"/>
        <w:position w:val="0"/>
        <w:sz w:val="24"/>
        <w:sz w:val="24"/>
        <w:szCs w:val="24"/>
        <w:u w:val="none"/>
        <w:vertAlign w:val="baseline"/>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0" w:hanging="0"/>
      <w:jc w:val="left"/>
      <w:rPr>
        <w:rFonts w:ascii="Ecofont_Spranq_eco_Sans" w:hAnsi="Ecofont_Spranq_eco_Sans" w:eastAsia="Ecofont_Spranq_eco_Sans" w:cs="Ecofont_Spranq_eco_Sans"/>
        <w:b w:val="false"/>
        <w:b w:val="false"/>
        <w:i w:val="false"/>
        <w:i w:val="false"/>
        <w:caps w:val="false"/>
        <w:smallCaps w:val="false"/>
        <w:strike w:val="false"/>
        <w:dstrike w:val="false"/>
        <w:color w:val="000000"/>
        <w:position w:val="0"/>
        <w:sz w:val="24"/>
        <w:sz w:val="24"/>
        <w:szCs w:val="24"/>
        <w:u w:val="none"/>
        <w:vertAlign w:val="baseline"/>
      </w:rPr>
    </w:pPr>
    <w:r>
      <w:rPr>
        <w:rFonts w:eastAsia="Ecofont_Spranq_eco_Sans" w:cs="Ecofont_Spranq_eco_Sans"/>
        <w:b w:val="false"/>
        <w:i w:val="false"/>
        <w:caps w:val="false"/>
        <w:smallCaps w:val="false"/>
        <w:strike w:val="false"/>
        <w:dstrike w:val="false"/>
        <w:color w:val="000000"/>
        <w:position w:val="0"/>
        <w:sz w:val="24"/>
        <w:sz w:val="24"/>
        <w:szCs w:val="24"/>
        <w:u w:val="none"/>
        <w:vertAlign w:val="baseline"/>
      </w:rP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60310" cy="10692130"/>
          <wp:effectExtent l="0" t="0" r="0" b="0"/>
          <wp:wrapNone/>
          <wp:docPr id="2" name="image1.png"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999" w:hanging="432"/>
      </w:pPr>
      <w:rPr>
        <w:b/>
      </w:rPr>
    </w:lvl>
    <w:lvl w:ilvl="1">
      <w:start w:val="1"/>
      <w:numFmt w:val="decimal"/>
      <w:lvlText w:val="%1.%2.."/>
      <w:lvlJc w:val="left"/>
      <w:pPr>
        <w:tabs>
          <w:tab w:val="num" w:pos="0"/>
        </w:tabs>
        <w:ind w:left="1638" w:hanging="504"/>
      </w:pPr>
      <w:rPr>
        <w:dstrike w:val="false"/>
        <w:strike w:val="false"/>
        <w:sz w:val="20"/>
        <w:i w:val="false"/>
        <w:u w:val="none"/>
        <w:b/>
        <w:szCs w:val="20"/>
        <w:color w:val="000000"/>
      </w:rPr>
    </w:lvl>
    <w:lvl w:ilvl="2">
      <w:start w:val="1"/>
      <w:numFmt w:val="decimal"/>
      <w:lvlText w:val="%1.%2.%3."/>
      <w:lvlJc w:val="left"/>
      <w:pPr>
        <w:tabs>
          <w:tab w:val="num" w:pos="0"/>
        </w:tabs>
        <w:ind w:left="1638" w:hanging="504"/>
      </w:pPr>
      <w:rPr>
        <w:dstrike w:val="false"/>
        <w:strike w:val="false"/>
        <w:sz w:val="20"/>
        <w:i w:val="false"/>
        <w:b/>
        <w:szCs w:val="20"/>
        <w:color w:val="00000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999" w:hanging="432"/>
      </w:pPr>
      <w:rPr>
        <w:b/>
      </w:rPr>
    </w:lvl>
    <w:lvl w:ilvl="1">
      <w:start w:val="1"/>
      <w:numFmt w:val="decimal"/>
      <w:lvlText w:val="%1.%2.."/>
      <w:lvlJc w:val="left"/>
      <w:pPr>
        <w:tabs>
          <w:tab w:val="num" w:pos="0"/>
        </w:tabs>
        <w:ind w:left="1638" w:hanging="504"/>
      </w:pPr>
      <w:rPr>
        <w:dstrike w:val="false"/>
        <w:strike w:val="false"/>
        <w:sz w:val="20"/>
        <w:i w:val="false"/>
        <w:u w:val="none"/>
        <w:b/>
        <w:szCs w:val="20"/>
        <w:color w:val="000000"/>
      </w:rPr>
    </w:lvl>
    <w:lvl w:ilvl="2">
      <w:start w:val="1"/>
      <w:numFmt w:val="decimal"/>
      <w:lvlText w:val="%1.%2.%3."/>
      <w:lvlJc w:val="left"/>
      <w:pPr>
        <w:tabs>
          <w:tab w:val="num" w:pos="0"/>
        </w:tabs>
        <w:ind w:left="1638" w:hanging="504"/>
      </w:pPr>
      <w:rPr>
        <w:dstrike w:val="false"/>
        <w:strike w:val="false"/>
        <w:sz w:val="20"/>
        <w:i w:val="false"/>
        <w:b/>
        <w:szCs w:val="20"/>
        <w:color w:val="00000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999"/>
      </w:pPr>
      <w:rPr>
        <w:dstrike w:val="false"/>
        <w:strike w:val="false"/>
        <w:sz w:val="20"/>
        <w:i w:val="false"/>
        <w:u w:val="none"/>
        <w:b/>
        <w:szCs w:val="20"/>
        <w:color w:val="000000"/>
      </w:rPr>
    </w:lvl>
    <w:lvl w:ilvl="2">
      <w:start w:val="1"/>
      <w:numFmt w:val="decimal"/>
      <w:lvlText w:val="%1.%2.%3."/>
      <w:lvlJc w:val="left"/>
      <w:pPr>
        <w:tabs>
          <w:tab w:val="num" w:pos="0"/>
        </w:tabs>
        <w:ind w:left="0" w:hanging="0"/>
      </w:pPr>
      <w:rPr>
        <w:dstrike w:val="false"/>
        <w:strike w:val="false"/>
        <w:sz w:val="20"/>
        <w:i w:val="false"/>
        <w:b/>
        <w:szCs w:val="20"/>
        <w:color w:val="000000"/>
      </w:rPr>
    </w:lvl>
    <w:lvl w:ilvl="3">
      <w:start w:val="1"/>
      <w:numFmt w:val="decimal"/>
      <w:lvlText w:val="%1.%2.%3.%4."/>
      <w:lvlJc w:val="left"/>
      <w:pPr>
        <w:tabs>
          <w:tab w:val="num" w:pos="0"/>
        </w:tabs>
        <w:ind w:left="2491" w:hanging="2491"/>
      </w:pPr>
    </w:lvl>
    <w:lvl w:ilvl="4">
      <w:start w:val="1"/>
      <w:numFmt w:val="decimal"/>
      <w:lvlText w:val="%1.%2.%3.%4.%5."/>
      <w:lvlJc w:val="left"/>
      <w:pPr>
        <w:tabs>
          <w:tab w:val="num" w:pos="0"/>
        </w:tabs>
        <w:ind w:left="2232" w:hanging="2232"/>
      </w:pPr>
    </w:lvl>
    <w:lvl w:ilvl="5">
      <w:start w:val="1"/>
      <w:numFmt w:val="decimal"/>
      <w:lvlText w:val="%1.%2.%3.%4.%5.%6."/>
      <w:lvlJc w:val="left"/>
      <w:pPr>
        <w:tabs>
          <w:tab w:val="num" w:pos="0"/>
        </w:tabs>
        <w:ind w:left="2736" w:hanging="2736"/>
      </w:pPr>
    </w:lvl>
    <w:lvl w:ilvl="6">
      <w:start w:val="1"/>
      <w:numFmt w:val="decimal"/>
      <w:lvlText w:val="%1.%2.%3.%4.%5.%6.%7."/>
      <w:lvlJc w:val="left"/>
      <w:pPr>
        <w:tabs>
          <w:tab w:val="num" w:pos="0"/>
        </w:tabs>
        <w:ind w:left="3240" w:hanging="3240"/>
      </w:pPr>
    </w:lvl>
    <w:lvl w:ilvl="7">
      <w:start w:val="1"/>
      <w:numFmt w:val="decimal"/>
      <w:lvlText w:val="%1.%2.%3.%4.%5.%6.%7.%8."/>
      <w:lvlJc w:val="left"/>
      <w:pPr>
        <w:tabs>
          <w:tab w:val="num" w:pos="0"/>
        </w:tabs>
        <w:ind w:left="3744" w:hanging="3744"/>
      </w:pPr>
    </w:lvl>
    <w:lvl w:ilvl="8">
      <w:start w:val="1"/>
      <w:numFmt w:val="decimal"/>
      <w:lvlText w:val="%1.%2.%3.%4.%5.%6.%7.%8.%9."/>
      <w:lvlJc w:val="left"/>
      <w:pPr>
        <w:tabs>
          <w:tab w:val="num" w:pos="0"/>
        </w:tabs>
        <w:ind w:left="4320" w:hanging="432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Ecofont_Spranq_eco_Sans" w:hAnsi="Ecofont_Spranq_eco_Sans" w:eastAsia="Ecofont_Spranq_eco_Sans" w:cs="Ecofont_Spranq_eco_Sans"/>
        <w:szCs w:val="24"/>
        <w:lang w:val="pt-BR" w:eastAsia="zh-CN" w:bidi="hi-IN"/>
      </w:rPr>
    </w:rPrDefault>
    <w:pPrDefault>
      <w:pPr>
        <w:suppressAutoHyphens w:val="true"/>
      </w:pPr>
    </w:pPrDefault>
  </w:docDefault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LOnormal"/>
    <w:next w:val="LO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LOnormal"/>
    <w:next w:val="LO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LOnormal"/>
    <w:next w:val="LO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LOnormal"/>
    <w:next w:val="LO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1">
    <w:name w:val="Fonte parág. padrão1"/>
    <w:qFormat/>
    <w:rPr/>
  </w:style>
  <w:style w:type="paragraph" w:styleId="Ttulo">
    <w:name w:val="Título"/>
    <w:basedOn w:val="LO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LO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LOnormal"/>
    <w:qFormat/>
    <w:pPr>
      <w:suppressLineNumbers/>
      <w:spacing w:before="120" w:after="120"/>
    </w:pPr>
    <w:rPr>
      <w:rFonts w:cs="Lohit Devanagari"/>
      <w:i/>
      <w:iCs/>
      <w:sz w:val="24"/>
      <w:szCs w:val="24"/>
    </w:rPr>
  </w:style>
  <w:style w:type="paragraph" w:styleId="Ndice">
    <w:name w:val="Índice"/>
    <w:basedOn w:val="LOnormal"/>
    <w:qFormat/>
    <w:pPr>
      <w:suppressLineNumbers/>
    </w:pPr>
    <w:rPr>
      <w:rFonts w:cs="Lohit Devanagari"/>
    </w:rPr>
  </w:style>
  <w:style w:type="paragraph" w:styleId="LOnormal" w:default="1">
    <w:name w:val="LO-normal"/>
    <w:qFormat/>
    <w:pPr>
      <w:widowControl/>
      <w:suppressAutoHyphens w:val="true"/>
      <w:bidi w:val="0"/>
      <w:spacing w:before="0" w:after="0"/>
      <w:jc w:val="left"/>
    </w:pPr>
    <w:rPr>
      <w:rFonts w:ascii="Ecofont_Spranq_eco_Sans" w:hAnsi="Ecofont_Spranq_eco_Sans" w:eastAsia="Ecofont_Spranq_eco_Sans" w:cs="Ecofont_Spranq_eco_Sans"/>
      <w:color w:val="auto"/>
      <w:kern w:val="0"/>
      <w:sz w:val="24"/>
      <w:szCs w:val="24"/>
      <w:lang w:val="pt-BR" w:eastAsia="zh-CN" w:bidi="hi-IN"/>
    </w:rPr>
  </w:style>
  <w:style w:type="paragraph" w:styleId="Ttulododocumento">
    <w:name w:val="Title"/>
    <w:basedOn w:val="LOnormal"/>
    <w:next w:val="LO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ListParagraph">
    <w:name w:val="List Paragraph"/>
    <w:basedOn w:val="LOnormal"/>
    <w:link w:val="PargrafodaListaChar"/>
    <w:uiPriority w:val="34"/>
    <w:qFormat/>
    <w:rsid w:val="004773fc"/>
    <w:pPr>
      <w:spacing w:before="0" w:after="0"/>
      <w:ind w:left="720" w:hanging="0"/>
      <w:contextualSpacing/>
    </w:pPr>
    <w:rPr/>
  </w:style>
  <w:style w:type="paragraph" w:styleId="NormalWeb">
    <w:name w:val="Normal (Web)"/>
    <w:basedOn w:val="LOnormal"/>
    <w:uiPriority w:val="99"/>
    <w:qFormat/>
    <w:rsid w:val="006b156a"/>
    <w:pPr>
      <w:spacing w:beforeAutospacing="1" w:afterAutospacing="1"/>
    </w:pPr>
    <w:rPr>
      <w:rFonts w:ascii="Times New Roman" w:hAnsi="Times New Roman" w:cs="Times New Roman"/>
    </w:rPr>
  </w:style>
  <w:style w:type="paragraph" w:styleId="BalloonText">
    <w:name w:val="Balloon Text"/>
    <w:basedOn w:val="LOnormal"/>
    <w:link w:val="TextodebaloChar"/>
    <w:uiPriority w:val="99"/>
    <w:qFormat/>
    <w:rsid w:val="003a73c1"/>
    <w:pPr/>
    <w:rPr>
      <w:rFonts w:ascii="Tahoma" w:hAnsi="Tahoma"/>
      <w:sz w:val="16"/>
      <w:szCs w:val="16"/>
    </w:rPr>
  </w:style>
  <w:style w:type="paragraph" w:styleId="Nvel2" w:customStyle="1">
    <w:name w:val="Nível 2"/>
    <w:basedOn w:val="LOnormal"/>
    <w:next w:val="LOnormal"/>
    <w:qFormat/>
    <w:rsid w:val="00d30a43"/>
    <w:pPr>
      <w:spacing w:before="0" w:after="120"/>
      <w:jc w:val="both"/>
    </w:pPr>
    <w:rPr>
      <w:rFonts w:ascii="Arial" w:hAnsi="Arial" w:cs="Times New Roman"/>
      <w:b/>
      <w:szCs w:val="20"/>
    </w:rPr>
  </w:style>
  <w:style w:type="paragraph" w:styleId="Quote">
    <w:name w:val="Quote"/>
    <w:basedOn w:val="LOnormal"/>
    <w:next w:val="LO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LO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LOnormal"/>
    <w:qFormat/>
    <w:pPr/>
    <w:rPr/>
  </w:style>
  <w:style w:type="paragraph" w:styleId="Cabealho">
    <w:name w:val="Header"/>
    <w:basedOn w:val="LOnormal"/>
    <w:link w:val="CabealhoChar"/>
    <w:rsid w:val="00ca24fb"/>
    <w:pPr>
      <w:tabs>
        <w:tab w:val="clear" w:pos="720"/>
        <w:tab w:val="center" w:pos="4252" w:leader="none"/>
        <w:tab w:val="right" w:pos="8504" w:leader="none"/>
      </w:tabs>
    </w:pPr>
    <w:rPr/>
  </w:style>
  <w:style w:type="paragraph" w:styleId="Rodap">
    <w:name w:val="Footer"/>
    <w:basedOn w:val="LOnormal"/>
    <w:link w:val="RodapChar"/>
    <w:uiPriority w:val="99"/>
    <w:rsid w:val="00ca24fb"/>
    <w:pPr>
      <w:tabs>
        <w:tab w:val="clear" w:pos="720"/>
        <w:tab w:val="center" w:pos="4252" w:leader="none"/>
        <w:tab w:val="right" w:pos="8504" w:leader="none"/>
      </w:tabs>
    </w:pPr>
    <w:rPr/>
  </w:style>
  <w:style w:type="paragraph" w:styleId="Annotationtext">
    <w:name w:val="annotation text"/>
    <w:basedOn w:val="LO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LOnormal"/>
    <w:link w:val="Nivel01Char"/>
    <w:autoRedefine/>
    <w:qFormat/>
    <w:rsid w:val="00a974bd"/>
    <w:pPr>
      <w:tabs>
        <w:tab w:val="clear" w:pos="720"/>
        <w:tab w:val="left" w:pos="567" w:leader="none"/>
      </w:tabs>
      <w:spacing w:lineRule="auto" w:line="312" w:before="288" w:after="288"/>
      <w:ind w:left="0" w:righ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LOnormal"/>
    <w:next w:val="LO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LO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LOnormal"/>
    <w:qFormat/>
    <w:rsid w:val="00d30a43"/>
    <w:pPr>
      <w:ind w:left="720" w:hanging="0"/>
    </w:pPr>
    <w:rPr>
      <w:rFonts w:eastAsia="Times New Roman" w:cs="Ecofont_Spranq_eco_Sans"/>
    </w:rPr>
  </w:style>
  <w:style w:type="paragraph" w:styleId="Nivel2" w:customStyle="1">
    <w:name w:val="Nivel 2"/>
    <w:basedOn w:val="LO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LO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LO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LO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LO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LOnormal"/>
    <w:next w:val="LO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LO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LO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LO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LO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LO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LOnormal"/>
    <w:next w:val="LO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LO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LO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LO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LO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LO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LO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LOnormal"/>
    <w:uiPriority w:val="39"/>
    <w:unhideWhenUsed/>
    <w:qFormat/>
    <w:rsid w:val="003f579d"/>
    <w:pPr>
      <w:spacing w:lineRule="auto" w:line="259" w:before="240" w:after="0"/>
    </w:pPr>
    <w:rPr>
      <w:b w:val="false"/>
      <w:bCs w:val="false"/>
      <w:sz w:val="32"/>
      <w:szCs w:val="32"/>
    </w:rPr>
  </w:style>
  <w:style w:type="paragraph" w:styleId="Sumrio1">
    <w:name w:val="TOC 1"/>
    <w:basedOn w:val="LOnormal"/>
    <w:next w:val="LOnormal"/>
    <w:autoRedefine/>
    <w:uiPriority w:val="39"/>
    <w:unhideWhenUsed/>
    <w:rsid w:val="00805832"/>
    <w:pPr>
      <w:tabs>
        <w:tab w:val="clear" w:pos="720"/>
        <w:tab w:val="left" w:pos="426" w:leader="none"/>
        <w:tab w:val="right" w:pos="9628" w:leader="dot"/>
      </w:tabs>
      <w:spacing w:before="0" w:after="100"/>
    </w:pPr>
    <w:rPr>
      <w:rFonts w:ascii="Arial" w:hAnsi="Arial" w:eastAsia="Times New Roman"/>
      <w:sz w:val="20"/>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leNormal">
    <w:name w:val="Table Normal"/>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portaltransparencia.gov.br/sancoes/ceis" TargetMode="External"/><Relationship Id="rId14" Type="http://schemas.openxmlformats.org/officeDocument/2006/relationships/hyperlink" Target="https://www.portaltransparencia.gov.br/sancoes/cnep"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5rm.eb.mil.br/"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30" Type="http://schemas.openxmlformats.org/officeDocument/2006/relationships/header" Target="header2.xml"/><Relationship Id="rId31" Type="http://schemas.openxmlformats.org/officeDocument/2006/relationships/footer" Target="footer1.xml"/><Relationship Id="rId32" Type="http://schemas.openxmlformats.org/officeDocument/2006/relationships/numbering" Target="numbering.xm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Relationship Id="rId36"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W+770IogywnMOKj9kUcN43GkwoA==">CgMxLjAyCGguZ2pkZ3hzMgloLjMwajB6bGwyCWguMWZvYjl0ZTIJaC4zem55c2g3MgloLjJldDkycDAyCGgudHlqY3d0MgloLjNkeTZ2a20yCWguMXQzaDVzZjIJaC40ZDM0b2c4MgloLjJzOGV5bzEyCWguMTdkcDh2dTIKaWQuM3JkY3JqbjIKaWQuMjZpbjFyZzIJaWQubG54Yno5MgppZC4zNW5rdW4yMgloLjFrc3Y0dXYyCWguNDRzaW5pbzIJaC4yanhzeHFoMghoLnozMzd5YTIJaC4zajJxcW0zMgloLjF5ODEwdHcyCWguNGk3b2pocDIJaC4yeGN5dHBpMgloLjFjaTkzeGIyCWguM3dod21sNDIJaC4yYm42d3N4MghoLnFzaDcwcTIJaC4zYXM0cG9qMgppZC4xcHhlendjMgppZC40OXgyaWs1MgppZC4ycDJjc3J5MgppZ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OAByITE5ZWlNTXY4MG9LcjhBeHQtc3E2MktRbHk2cjJ1Nkph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TotalTime>
  <Application>LibreOffice/6.4.7.2$Linux_X86_64 LibreOffice_project/40$Build-2</Application>
  <Pages>20</Pages>
  <Words>8965</Words>
  <Characters>49766</Characters>
  <CharactersWithSpaces>58131</CharactersWithSpaces>
  <Paragraphs>354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2023-08-21T14:10:42Z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